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3AABA4" w14:textId="68400CB4" w:rsidR="00F154A7" w:rsidRPr="00DB6C69" w:rsidRDefault="00F154A7" w:rsidP="00F154A7">
      <w:pPr>
        <w:pStyle w:val="3GPPHeader"/>
        <w:spacing w:after="60"/>
        <w:rPr>
          <w:rFonts w:cs="Arial"/>
          <w:sz w:val="32"/>
          <w:szCs w:val="32"/>
          <w:highlight w:val="yellow"/>
        </w:rPr>
      </w:pPr>
      <w:r w:rsidRPr="00DB6C69">
        <w:rPr>
          <w:rFonts w:cs="Arial"/>
        </w:rPr>
        <w:t>3GPP TSG-RAN WG2</w:t>
      </w:r>
      <w:r w:rsidR="007951ED" w:rsidRPr="00DB6C69">
        <w:rPr>
          <w:rFonts w:cs="Arial"/>
        </w:rPr>
        <w:t xml:space="preserve"> #99</w:t>
      </w:r>
      <w:r w:rsidRPr="00DB6C69">
        <w:rPr>
          <w:rFonts w:cs="Arial"/>
        </w:rPr>
        <w:tab/>
      </w:r>
      <w:r w:rsidRPr="00DB6C69">
        <w:rPr>
          <w:rFonts w:cs="Arial"/>
          <w:sz w:val="32"/>
          <w:szCs w:val="32"/>
        </w:rPr>
        <w:t>Tdoc R2-17</w:t>
      </w:r>
      <w:r w:rsidR="000B52A1" w:rsidRPr="00DB6C69">
        <w:rPr>
          <w:rFonts w:cs="Arial"/>
          <w:sz w:val="32"/>
          <w:szCs w:val="32"/>
        </w:rPr>
        <w:t>0</w:t>
      </w:r>
      <w:r w:rsidR="00DF4160">
        <w:rPr>
          <w:rFonts w:cs="Arial"/>
          <w:sz w:val="32"/>
          <w:szCs w:val="32"/>
        </w:rPr>
        <w:t>8094</w:t>
      </w:r>
    </w:p>
    <w:p w14:paraId="53D785E6" w14:textId="2C3C2507" w:rsidR="00F154A7" w:rsidRPr="00DB6C69" w:rsidRDefault="007951ED" w:rsidP="00F154A7">
      <w:pPr>
        <w:pStyle w:val="3GPPHeader"/>
        <w:rPr>
          <w:rFonts w:cs="Arial"/>
        </w:rPr>
      </w:pPr>
      <w:r w:rsidRPr="00DB6C69">
        <w:rPr>
          <w:rFonts w:cs="Arial"/>
        </w:rPr>
        <w:t>Berlin, Germany, 21</w:t>
      </w:r>
      <w:r w:rsidRPr="00DB6C69">
        <w:rPr>
          <w:rFonts w:cs="Arial"/>
          <w:vertAlign w:val="superscript"/>
        </w:rPr>
        <w:t>st</w:t>
      </w:r>
      <w:r w:rsidRPr="00DB6C69">
        <w:rPr>
          <w:rFonts w:cs="Arial"/>
        </w:rPr>
        <w:t xml:space="preserve"> – 25</w:t>
      </w:r>
      <w:r w:rsidRPr="00DB6C69">
        <w:rPr>
          <w:rFonts w:cs="Arial"/>
          <w:vertAlign w:val="superscript"/>
        </w:rPr>
        <w:t>th</w:t>
      </w:r>
      <w:r w:rsidRPr="00DB6C69">
        <w:rPr>
          <w:rFonts w:cs="Arial"/>
        </w:rPr>
        <w:t xml:space="preserve"> August 2017</w:t>
      </w:r>
      <w:r w:rsidR="00F74557" w:rsidRPr="00DB6C69">
        <w:rPr>
          <w:rFonts w:cs="Arial"/>
        </w:rPr>
        <w:tab/>
      </w:r>
    </w:p>
    <w:p w14:paraId="436B50D4" w14:textId="77777777" w:rsidR="00E90E49" w:rsidRPr="00DB6C69" w:rsidRDefault="00E90E49" w:rsidP="00357380">
      <w:pPr>
        <w:pStyle w:val="3GPPHeader"/>
        <w:rPr>
          <w:rFonts w:cs="Arial"/>
        </w:rPr>
      </w:pPr>
    </w:p>
    <w:p w14:paraId="0708A3D8" w14:textId="1CC24BE4" w:rsidR="00E90E49" w:rsidRPr="00DB6C69" w:rsidRDefault="00E90E49" w:rsidP="00311702">
      <w:pPr>
        <w:pStyle w:val="3GPPHeader"/>
        <w:rPr>
          <w:rFonts w:cs="Arial"/>
          <w:sz w:val="22"/>
        </w:rPr>
      </w:pPr>
      <w:r w:rsidRPr="00DB6C69">
        <w:rPr>
          <w:rFonts w:cs="Arial"/>
          <w:sz w:val="22"/>
        </w:rPr>
        <w:t>Agenda Item:</w:t>
      </w:r>
      <w:r w:rsidRPr="00DB6C69">
        <w:rPr>
          <w:rFonts w:cs="Arial"/>
          <w:sz w:val="22"/>
        </w:rPr>
        <w:tab/>
      </w:r>
      <w:r w:rsidR="00E615F0" w:rsidRPr="00DB6C69">
        <w:rPr>
          <w:rFonts w:cs="Arial"/>
          <w:sz w:val="22"/>
        </w:rPr>
        <w:t>10.2.2</w:t>
      </w:r>
      <w:r w:rsidR="00D30CE4" w:rsidRPr="00DB6C69">
        <w:rPr>
          <w:rFonts w:cs="Arial"/>
          <w:sz w:val="22"/>
        </w:rPr>
        <w:t>.2</w:t>
      </w:r>
    </w:p>
    <w:p w14:paraId="71824C3D" w14:textId="77777777" w:rsidR="00E90E49" w:rsidRPr="00DB6C69" w:rsidRDefault="003D3C45" w:rsidP="00F64C2B">
      <w:pPr>
        <w:pStyle w:val="3GPPHeader"/>
        <w:rPr>
          <w:rFonts w:cs="Arial"/>
          <w:sz w:val="22"/>
        </w:rPr>
      </w:pPr>
      <w:r w:rsidRPr="00DB6C69">
        <w:rPr>
          <w:rFonts w:cs="Arial"/>
          <w:sz w:val="22"/>
        </w:rPr>
        <w:t>Source:</w:t>
      </w:r>
      <w:r w:rsidR="00E90E49" w:rsidRPr="00DB6C69">
        <w:rPr>
          <w:rFonts w:cs="Arial"/>
          <w:sz w:val="22"/>
        </w:rPr>
        <w:tab/>
      </w:r>
      <w:r w:rsidR="00F64C2B" w:rsidRPr="00DB6C69">
        <w:rPr>
          <w:rFonts w:cs="Arial"/>
          <w:sz w:val="22"/>
        </w:rPr>
        <w:t>Ericsson</w:t>
      </w:r>
    </w:p>
    <w:p w14:paraId="2EB3B7E6" w14:textId="4A351103" w:rsidR="00E90E49" w:rsidRPr="00DB6C69" w:rsidRDefault="003D3C45" w:rsidP="00311702">
      <w:pPr>
        <w:pStyle w:val="3GPPHeader"/>
        <w:rPr>
          <w:rFonts w:cs="Arial"/>
          <w:sz w:val="22"/>
        </w:rPr>
      </w:pPr>
      <w:r w:rsidRPr="00DB6C69">
        <w:rPr>
          <w:rFonts w:cs="Arial"/>
          <w:sz w:val="22"/>
        </w:rPr>
        <w:t>Title:</w:t>
      </w:r>
      <w:r w:rsidR="00E90E49" w:rsidRPr="00DB6C69">
        <w:rPr>
          <w:rFonts w:cs="Arial"/>
          <w:sz w:val="22"/>
        </w:rPr>
        <w:tab/>
      </w:r>
      <w:r w:rsidR="00802E21" w:rsidRPr="00DB6C69">
        <w:rPr>
          <w:rFonts w:cs="Arial"/>
          <w:sz w:val="22"/>
        </w:rPr>
        <w:t xml:space="preserve">Bearer type </w:t>
      </w:r>
      <w:r w:rsidR="008D6FC9" w:rsidRPr="00DB6C69">
        <w:rPr>
          <w:rFonts w:cs="Arial"/>
          <w:sz w:val="22"/>
        </w:rPr>
        <w:t>change</w:t>
      </w:r>
      <w:r w:rsidR="00802E21" w:rsidRPr="00DB6C69">
        <w:rPr>
          <w:rFonts w:cs="Arial"/>
          <w:sz w:val="22"/>
        </w:rPr>
        <w:t xml:space="preserve"> </w:t>
      </w:r>
    </w:p>
    <w:p w14:paraId="3FA2B039" w14:textId="77777777" w:rsidR="00E90E49" w:rsidRPr="00DB6C69" w:rsidRDefault="00E90E49" w:rsidP="007146AF">
      <w:pPr>
        <w:pStyle w:val="3GPPHeader"/>
        <w:rPr>
          <w:rFonts w:cs="Arial"/>
        </w:rPr>
      </w:pPr>
      <w:r w:rsidRPr="00DB6C69">
        <w:rPr>
          <w:rFonts w:cs="Arial"/>
          <w:sz w:val="22"/>
        </w:rPr>
        <w:t>Document for:</w:t>
      </w:r>
      <w:r w:rsidRPr="00DB6C69">
        <w:rPr>
          <w:rFonts w:cs="Arial"/>
          <w:sz w:val="22"/>
        </w:rPr>
        <w:tab/>
        <w:t>Discussion, Decision</w:t>
      </w:r>
    </w:p>
    <w:p w14:paraId="5FA2BA8E" w14:textId="77777777" w:rsidR="00E77DE7" w:rsidRPr="00DB6C69" w:rsidRDefault="00E77DE7" w:rsidP="000D78FD">
      <w:pPr>
        <w:pStyle w:val="BodyText"/>
        <w:rPr>
          <w:rFonts w:cs="Arial"/>
        </w:rPr>
      </w:pPr>
    </w:p>
    <w:p w14:paraId="63E4261B" w14:textId="2C2A3D90" w:rsidR="00E77DE7" w:rsidRPr="00DB6C69" w:rsidRDefault="00377F41" w:rsidP="00E77DE7">
      <w:pPr>
        <w:pStyle w:val="Heading1"/>
      </w:pPr>
      <w:r w:rsidRPr="00DB6C69">
        <w:t>Introduction</w:t>
      </w:r>
    </w:p>
    <w:p w14:paraId="08A59720" w14:textId="40B03225" w:rsidR="00772E3F" w:rsidRPr="00DB6C69" w:rsidRDefault="00A337CF" w:rsidP="00DB6C69">
      <w:pPr>
        <w:pStyle w:val="BodyText"/>
        <w:rPr>
          <w:rFonts w:cs="Arial"/>
        </w:rPr>
      </w:pPr>
      <w:r w:rsidRPr="00DB6C69">
        <w:rPr>
          <w:rFonts w:cs="Arial"/>
        </w:rPr>
        <w:t>At RAN2#AH2</w:t>
      </w:r>
      <w:r w:rsidR="00064BEA" w:rsidRPr="00DB6C69">
        <w:rPr>
          <w:rFonts w:cs="Arial"/>
        </w:rPr>
        <w:t xml:space="preserve"> </w:t>
      </w:r>
      <w:r w:rsidRPr="00DB6C69">
        <w:rPr>
          <w:rFonts w:cs="Arial"/>
        </w:rPr>
        <w:t xml:space="preserve">several agreements were made for bearer harmonization, which also affect the bearer type </w:t>
      </w:r>
      <w:r w:rsidR="0090209B" w:rsidRPr="00DB6C69">
        <w:rPr>
          <w:rFonts w:cs="Arial"/>
        </w:rPr>
        <w:t>change</w:t>
      </w:r>
      <w:r w:rsidRPr="00DB6C69">
        <w:rPr>
          <w:rFonts w:cs="Arial"/>
        </w:rPr>
        <w:t xml:space="preserve"> procedures. </w:t>
      </w:r>
      <w:r w:rsidR="00772E3F" w:rsidRPr="00DB6C69">
        <w:rPr>
          <w:rFonts w:cs="Arial"/>
        </w:rPr>
        <w:t xml:space="preserve">In this contribution, we </w:t>
      </w:r>
      <w:r w:rsidR="00BF63BC" w:rsidRPr="00DB6C69">
        <w:rPr>
          <w:rFonts w:cs="Arial"/>
        </w:rPr>
        <w:t>go through the different bearer type change</w:t>
      </w:r>
      <w:r w:rsidR="00C5276B" w:rsidRPr="00DB6C69">
        <w:rPr>
          <w:rFonts w:cs="Arial"/>
        </w:rPr>
        <w:t xml:space="preserve"> options and the need for PDCP/</w:t>
      </w:r>
      <w:r w:rsidR="00BF63BC" w:rsidRPr="00DB6C69">
        <w:rPr>
          <w:rFonts w:cs="Arial"/>
        </w:rPr>
        <w:t xml:space="preserve">RLC re-establishment and/or MAC reset. </w:t>
      </w:r>
      <w:r w:rsidR="00772E3F" w:rsidRPr="00DB6C69">
        <w:rPr>
          <w:rFonts w:cs="Arial"/>
        </w:rPr>
        <w:t>We also discuss the expected/typical impact on the performance of performing or not performing a reset on different protocol layers.</w:t>
      </w:r>
    </w:p>
    <w:p w14:paraId="0436AC34" w14:textId="7F6CED8E" w:rsidR="00BF63BC" w:rsidRPr="00DB6C69" w:rsidRDefault="00BF63BC" w:rsidP="00DB6C69">
      <w:pPr>
        <w:pStyle w:val="BodyText"/>
        <w:rPr>
          <w:rFonts w:cs="Arial"/>
        </w:rPr>
      </w:pPr>
      <w:r w:rsidRPr="00DB6C69">
        <w:rPr>
          <w:rFonts w:cs="Arial"/>
        </w:rPr>
        <w:t xml:space="preserve">We hope we can close this </w:t>
      </w:r>
      <w:r w:rsidR="009C1360">
        <w:rPr>
          <w:rFonts w:cs="Arial"/>
        </w:rPr>
        <w:t xml:space="preserve">stage 2 </w:t>
      </w:r>
      <w:r w:rsidRPr="00DB6C69">
        <w:rPr>
          <w:rFonts w:cs="Arial"/>
        </w:rPr>
        <w:t xml:space="preserve">discussion in RAN2#99, in order to </w:t>
      </w:r>
      <w:r w:rsidR="00AD0C47">
        <w:rPr>
          <w:rFonts w:cs="Arial"/>
        </w:rPr>
        <w:t>complete</w:t>
      </w:r>
      <w:r w:rsidR="00AD0C47" w:rsidRPr="00DB6C69">
        <w:rPr>
          <w:rFonts w:cs="Arial"/>
        </w:rPr>
        <w:t xml:space="preserve"> </w:t>
      </w:r>
      <w:r w:rsidRPr="00DB6C69">
        <w:rPr>
          <w:rFonts w:cs="Arial"/>
        </w:rPr>
        <w:t>t</w:t>
      </w:r>
      <w:r w:rsidR="00AD0C47">
        <w:rPr>
          <w:rFonts w:cs="Arial"/>
        </w:rPr>
        <w:t>he</w:t>
      </w:r>
      <w:r w:rsidRPr="00DB6C69">
        <w:rPr>
          <w:rFonts w:cs="Arial"/>
        </w:rPr>
        <w:t xml:space="preserve"> </w:t>
      </w:r>
      <w:r w:rsidR="009C1360">
        <w:rPr>
          <w:rFonts w:cs="Arial"/>
        </w:rPr>
        <w:t xml:space="preserve">stage 3 discussion </w:t>
      </w:r>
      <w:r w:rsidRPr="00DB6C69">
        <w:rPr>
          <w:rFonts w:cs="Arial"/>
        </w:rPr>
        <w:t>designing the necessary RRC procedures for the bearer type changes</w:t>
      </w:r>
      <w:r w:rsidR="00C5276B" w:rsidRPr="00DB6C69">
        <w:rPr>
          <w:rFonts w:cs="Arial"/>
        </w:rPr>
        <w:t xml:space="preserve"> in the remaining two WG meetings</w:t>
      </w:r>
      <w:r w:rsidRPr="00DB6C69">
        <w:rPr>
          <w:rFonts w:cs="Arial"/>
        </w:rPr>
        <w:t>.</w:t>
      </w:r>
    </w:p>
    <w:p w14:paraId="7D842BAB" w14:textId="10C610C7" w:rsidR="003F6B37" w:rsidRPr="00DB6C69" w:rsidRDefault="00BF63BC" w:rsidP="00DB6C69">
      <w:pPr>
        <w:pStyle w:val="Heading1"/>
      </w:pPr>
      <w:bookmarkStart w:id="0" w:name="_Ref178064866"/>
      <w:bookmarkEnd w:id="0"/>
      <w:r w:rsidRPr="00DB6C69">
        <w:t>Discussion</w:t>
      </w:r>
    </w:p>
    <w:p w14:paraId="7CCBBBE7" w14:textId="02A94EBB" w:rsidR="00330AF0" w:rsidRPr="00DB6C69" w:rsidRDefault="00330AF0" w:rsidP="00330AF0">
      <w:pPr>
        <w:pStyle w:val="BodyText"/>
        <w:rPr>
          <w:rFonts w:cs="Arial"/>
        </w:rPr>
      </w:pPr>
      <w:r w:rsidRPr="00DB6C69">
        <w:rPr>
          <w:rFonts w:cs="Arial"/>
        </w:rPr>
        <w:t xml:space="preserve">In RAN2#AH2 it was agreed that for bearers configured with NR PDCP the network configures the UE with which key (from a set of possible keys) to use. This means that the security key is configurable </w:t>
      </w:r>
      <w:r w:rsidR="00FD72E7">
        <w:rPr>
          <w:rFonts w:cs="Arial"/>
        </w:rPr>
        <w:t>individually</w:t>
      </w:r>
      <w:r>
        <w:rPr>
          <w:rFonts w:cs="Arial"/>
        </w:rPr>
        <w:t xml:space="preserve"> for each bearer, </w:t>
      </w:r>
      <w:r w:rsidRPr="00DB6C69">
        <w:rPr>
          <w:rFonts w:cs="Arial"/>
        </w:rPr>
        <w:t>not only for the split bearer, but also for SCG DRB and MCG DRB using NR PDCP.</w:t>
      </w:r>
    </w:p>
    <w:p w14:paraId="2EF476DE" w14:textId="77777777" w:rsidR="00330AF0" w:rsidRPr="00DB6C69" w:rsidRDefault="00330AF0" w:rsidP="00330AF0">
      <w:pPr>
        <w:pStyle w:val="Observation"/>
        <w:rPr>
          <w:rFonts w:cs="Arial"/>
        </w:rPr>
      </w:pPr>
      <w:r w:rsidRPr="00DB6C69">
        <w:rPr>
          <w:rFonts w:cs="Arial"/>
        </w:rPr>
        <w:t>Bearer harmonization with configurable security key applies not only to split bearer, but also SCG DRB and MCG DRB using NR PDCP.</w:t>
      </w:r>
    </w:p>
    <w:p w14:paraId="7380F67E" w14:textId="65E48D41" w:rsidR="00330AF0" w:rsidRPr="00DB6C69" w:rsidRDefault="00330AF0" w:rsidP="00330AF0">
      <w:pPr>
        <w:pStyle w:val="BodyText"/>
        <w:rPr>
          <w:rFonts w:cs="Arial"/>
        </w:rPr>
      </w:pPr>
      <w:r w:rsidRPr="00DB6C69">
        <w:rPr>
          <w:rFonts w:cs="Arial"/>
        </w:rPr>
        <w:t>Bearer type changes across cell groups, i.e. MCG or split bearer to SCG bearer (or vice versa), meant in LTE-DC also that the network side PDCP termination point changed. However, observation 1 above means that such bearer type change no longer require</w:t>
      </w:r>
      <w:r>
        <w:rPr>
          <w:rFonts w:cs="Arial"/>
        </w:rPr>
        <w:t>s</w:t>
      </w:r>
      <w:r w:rsidRPr="00DB6C69">
        <w:rPr>
          <w:rFonts w:cs="Arial"/>
        </w:rPr>
        <w:t xml:space="preserve"> a security key change, as the same security key can be configured before and after the bearer type change</w:t>
      </w:r>
      <w:r>
        <w:rPr>
          <w:rFonts w:cs="Arial"/>
        </w:rPr>
        <w:t>, in case the network termination point does not change</w:t>
      </w:r>
      <w:r w:rsidRPr="00DB6C69">
        <w:rPr>
          <w:rFonts w:cs="Arial"/>
        </w:rPr>
        <w:t>. This can be beneficial e.g. in EN-DC operation, where NR traffic is routed through the secondary node. Then the PDCP termination point change is not needed, when UE moves in and out of NR coverage</w:t>
      </w:r>
      <w:r w:rsidR="0033737C">
        <w:rPr>
          <w:rFonts w:cs="Arial"/>
        </w:rPr>
        <w:t xml:space="preserve"> provided that the secondary node still handles the </w:t>
      </w:r>
      <w:r w:rsidR="008775B2">
        <w:rPr>
          <w:rFonts w:cs="Arial"/>
        </w:rPr>
        <w:t>NG-U</w:t>
      </w:r>
      <w:r w:rsidR="0033737C">
        <w:rPr>
          <w:rFonts w:cs="Arial"/>
        </w:rPr>
        <w:t xml:space="preserve"> connection towards the CN and forwards the data via the master node</w:t>
      </w:r>
      <w:r w:rsidRPr="00DB6C69">
        <w:rPr>
          <w:rFonts w:cs="Arial"/>
        </w:rPr>
        <w:t xml:space="preserve">. </w:t>
      </w:r>
    </w:p>
    <w:p w14:paraId="357D236E" w14:textId="77777777" w:rsidR="00330AF0" w:rsidRPr="00DB6C69" w:rsidRDefault="00330AF0" w:rsidP="00330AF0">
      <w:pPr>
        <w:pStyle w:val="Observation"/>
        <w:rPr>
          <w:rFonts w:cs="Arial"/>
        </w:rPr>
      </w:pPr>
      <w:r w:rsidRPr="00DB6C69">
        <w:rPr>
          <w:rFonts w:cs="Arial"/>
        </w:rPr>
        <w:t>Bearer type change across cell groups, i.e. MCG or split bearer to/from SCG bearer, only require security key change if the PDCP termination point is changed.</w:t>
      </w:r>
    </w:p>
    <w:p w14:paraId="4EF93846" w14:textId="0FB17EE7" w:rsidR="009C1360" w:rsidRDefault="009C1360" w:rsidP="00330AF0">
      <w:pPr>
        <w:pStyle w:val="BodyText"/>
        <w:rPr>
          <w:rFonts w:cs="Arial"/>
        </w:rPr>
      </w:pPr>
      <w:r>
        <w:rPr>
          <w:rFonts w:cs="Arial"/>
        </w:rPr>
        <w:t>The agreement in RAN2#AH2 and observations 1 and 2 above mean</w:t>
      </w:r>
      <w:r w:rsidR="00664704">
        <w:rPr>
          <w:rFonts w:cs="Arial"/>
        </w:rPr>
        <w:t xml:space="preserve"> that there</w:t>
      </w:r>
      <w:r>
        <w:rPr>
          <w:rFonts w:cs="Arial"/>
        </w:rPr>
        <w:t xml:space="preserve"> will be a </w:t>
      </w:r>
      <w:r w:rsidR="00664704">
        <w:rPr>
          <w:rFonts w:cs="Arial"/>
        </w:rPr>
        <w:t xml:space="preserve">need to </w:t>
      </w:r>
      <w:r>
        <w:rPr>
          <w:rFonts w:cs="Arial"/>
        </w:rPr>
        <w:t xml:space="preserve">be able to signal the used security key per bearer when NR PDCP is used. </w:t>
      </w:r>
      <w:r w:rsidR="00DB6C69">
        <w:rPr>
          <w:rFonts w:cs="Arial"/>
        </w:rPr>
        <w:t xml:space="preserve">In the following two sections, bearer type change is discussed for the cases with and without security key change. </w:t>
      </w:r>
      <w:r w:rsidR="00C97EC3" w:rsidRPr="00DB6C69">
        <w:rPr>
          <w:rFonts w:cs="Arial"/>
        </w:rPr>
        <w:t>From a security point of view, security key change</w:t>
      </w:r>
      <w:r w:rsidR="00DB6C69">
        <w:rPr>
          <w:rFonts w:cs="Arial"/>
        </w:rPr>
        <w:t xml:space="preserve"> for a bearer</w:t>
      </w:r>
      <w:r w:rsidR="00C97EC3" w:rsidRPr="00DB6C69">
        <w:rPr>
          <w:rFonts w:cs="Arial"/>
        </w:rPr>
        <w:t xml:space="preserve"> is needed</w:t>
      </w:r>
      <w:r w:rsidR="00DB6C69">
        <w:rPr>
          <w:rFonts w:cs="Arial"/>
        </w:rPr>
        <w:t xml:space="preserve"> </w:t>
      </w:r>
      <w:r w:rsidR="005754E3">
        <w:rPr>
          <w:rFonts w:cs="Arial"/>
        </w:rPr>
        <w:t xml:space="preserve">whenever the </w:t>
      </w:r>
      <w:r w:rsidR="00C97EC3" w:rsidRPr="00DB6C69">
        <w:rPr>
          <w:rFonts w:cs="Arial"/>
        </w:rPr>
        <w:t>PDCP termination point changes on the network side</w:t>
      </w:r>
      <w:r w:rsidR="00DB6C69">
        <w:rPr>
          <w:rFonts w:cs="Arial"/>
        </w:rPr>
        <w:t xml:space="preserve">. </w:t>
      </w:r>
    </w:p>
    <w:p w14:paraId="1E25B4A0" w14:textId="5633DDAF" w:rsidR="00C97EC3" w:rsidRPr="00DB6C69" w:rsidRDefault="009C1360" w:rsidP="00330AF0">
      <w:pPr>
        <w:pStyle w:val="BodyText"/>
        <w:rPr>
          <w:rFonts w:cs="Arial"/>
        </w:rPr>
      </w:pPr>
      <w:r>
        <w:rPr>
          <w:rFonts w:cs="Arial"/>
        </w:rPr>
        <w:t>Security key change here is not to be confused with</w:t>
      </w:r>
      <w:r w:rsidR="00776254">
        <w:rPr>
          <w:rFonts w:cs="Arial"/>
        </w:rPr>
        <w:t xml:space="preserve"> handover or</w:t>
      </w:r>
      <w:r>
        <w:rPr>
          <w:rFonts w:cs="Arial"/>
        </w:rPr>
        <w:t xml:space="preserve"> security key refresh</w:t>
      </w:r>
      <w:r w:rsidR="00776254">
        <w:rPr>
          <w:rFonts w:cs="Arial"/>
        </w:rPr>
        <w:t xml:space="preserve"> (e.g. due to COUNT wrap around)</w:t>
      </w:r>
      <w:r w:rsidR="00434B50">
        <w:rPr>
          <w:rFonts w:cs="Arial"/>
        </w:rPr>
        <w:t xml:space="preserve">, for which the security key is changed for all bearers, and </w:t>
      </w:r>
      <w:r w:rsidR="00776254">
        <w:rPr>
          <w:rFonts w:cs="Arial"/>
        </w:rPr>
        <w:t xml:space="preserve">legacy procedures can be used. </w:t>
      </w:r>
    </w:p>
    <w:p w14:paraId="27E224EB" w14:textId="75688351" w:rsidR="00A52299" w:rsidRPr="00DB6C69" w:rsidRDefault="00A52299" w:rsidP="00DB6C69">
      <w:pPr>
        <w:pStyle w:val="Heading2"/>
      </w:pPr>
      <w:r w:rsidRPr="00DB6C69">
        <w:t>Bearer type change without security key change</w:t>
      </w:r>
    </w:p>
    <w:p w14:paraId="6D6F6BF3" w14:textId="3933F71E" w:rsidR="00882661" w:rsidRPr="00DB6C69" w:rsidRDefault="00776254" w:rsidP="00DB6C69">
      <w:pPr>
        <w:pStyle w:val="BodyText"/>
        <w:rPr>
          <w:rFonts w:cs="Arial"/>
        </w:rPr>
      </w:pPr>
      <w:r>
        <w:rPr>
          <w:rFonts w:cs="Arial"/>
        </w:rPr>
        <w:t xml:space="preserve">Observations 1 and 2 </w:t>
      </w:r>
      <w:r w:rsidR="00E15EDC" w:rsidRPr="00DB6C69">
        <w:rPr>
          <w:rFonts w:cs="Arial"/>
        </w:rPr>
        <w:t>mean that PDCP re-establishment is not necessarily needed for any of the bearer type change cases</w:t>
      </w:r>
      <w:r w:rsidR="00C33C95" w:rsidRPr="00DB6C69">
        <w:rPr>
          <w:rFonts w:cs="Arial"/>
        </w:rPr>
        <w:t>, as long as NR PDCP is used</w:t>
      </w:r>
      <w:r w:rsidR="00D21406" w:rsidRPr="00DB6C69">
        <w:rPr>
          <w:rFonts w:cs="Arial"/>
        </w:rPr>
        <w:t xml:space="preserve"> and the PDCP termination point is not changed</w:t>
      </w:r>
      <w:r w:rsidR="00E15EDC" w:rsidRPr="00DB6C69">
        <w:rPr>
          <w:rFonts w:cs="Arial"/>
        </w:rPr>
        <w:t xml:space="preserve">. Still, </w:t>
      </w:r>
      <w:r w:rsidR="009F4C36" w:rsidRPr="00DB6C69">
        <w:rPr>
          <w:rFonts w:cs="Arial"/>
        </w:rPr>
        <w:t xml:space="preserve">for changes e.g. from split bearer to non-split bearer, data from the </w:t>
      </w:r>
      <w:r w:rsidR="00C33C95" w:rsidRPr="00DB6C69">
        <w:rPr>
          <w:rFonts w:cs="Arial"/>
        </w:rPr>
        <w:t xml:space="preserve">link to be removed </w:t>
      </w:r>
      <w:r w:rsidR="009F4C36" w:rsidRPr="00DB6C69">
        <w:rPr>
          <w:rFonts w:cs="Arial"/>
        </w:rPr>
        <w:t xml:space="preserve">is lost on MAC and RLC, </w:t>
      </w:r>
      <w:r w:rsidR="009F4C36" w:rsidRPr="00DB6C69">
        <w:rPr>
          <w:rFonts w:cs="Arial"/>
        </w:rPr>
        <w:lastRenderedPageBreak/>
        <w:t xml:space="preserve">it can be retransmitted </w:t>
      </w:r>
      <w:r w:rsidR="00032E75" w:rsidRPr="00DB6C69">
        <w:rPr>
          <w:rFonts w:cs="Arial"/>
        </w:rPr>
        <w:t xml:space="preserve">by PDCP </w:t>
      </w:r>
      <w:r w:rsidR="009757FE">
        <w:rPr>
          <w:rFonts w:cs="Arial"/>
        </w:rPr>
        <w:t xml:space="preserve">using the existing </w:t>
      </w:r>
      <w:r w:rsidR="00032E75" w:rsidRPr="00DB6C69">
        <w:rPr>
          <w:rFonts w:cs="Arial"/>
        </w:rPr>
        <w:t>PDCP data recovery</w:t>
      </w:r>
      <w:r w:rsidR="009F4C36" w:rsidRPr="00DB6C69">
        <w:rPr>
          <w:rFonts w:cs="Arial"/>
        </w:rPr>
        <w:t>.</w:t>
      </w:r>
      <w:r w:rsidR="00032E75" w:rsidRPr="00DB6C69">
        <w:rPr>
          <w:rFonts w:cs="Arial"/>
        </w:rPr>
        <w:t xml:space="preserve"> </w:t>
      </w:r>
      <w:r w:rsidR="007E24AB" w:rsidRPr="00DB6C69">
        <w:rPr>
          <w:rFonts w:cs="Arial"/>
        </w:rPr>
        <w:t>A synchronized reconfiguration together with handover or SCG change is thereby not required.</w:t>
      </w:r>
    </w:p>
    <w:p w14:paraId="62362066" w14:textId="0314A60E" w:rsidR="00C75C18" w:rsidRPr="00DB6C69" w:rsidRDefault="00C75C18" w:rsidP="009F4C36">
      <w:pPr>
        <w:pStyle w:val="Proposal"/>
        <w:rPr>
          <w:rFonts w:cs="Arial"/>
        </w:rPr>
      </w:pPr>
      <w:bookmarkStart w:id="1" w:name="_Toc489968097"/>
      <w:bookmarkStart w:id="2" w:name="_Toc490048435"/>
      <w:bookmarkStart w:id="3" w:name="_Toc490049247"/>
      <w:bookmarkStart w:id="4" w:name="_Toc490049441"/>
      <w:bookmarkStart w:id="5" w:name="_Toc490057433"/>
      <w:bookmarkStart w:id="6" w:name="_Toc490168287"/>
      <w:bookmarkStart w:id="7" w:name="_Toc490213028"/>
      <w:bookmarkStart w:id="8" w:name="_Toc490248138"/>
      <w:bookmarkStart w:id="9" w:name="_Toc490262682"/>
      <w:bookmarkStart w:id="10" w:name="_Toc473928839"/>
      <w:bookmarkStart w:id="11" w:name="_Toc478159535"/>
      <w:bookmarkStart w:id="12" w:name="_Toc478159819"/>
      <w:bookmarkStart w:id="13" w:name="_Toc481581152"/>
      <w:bookmarkStart w:id="14" w:name="_Toc481584807"/>
      <w:bookmarkStart w:id="15" w:name="_Toc481790491"/>
      <w:bookmarkStart w:id="16" w:name="_Toc481796943"/>
      <w:bookmarkStart w:id="17" w:name="_Toc484595311"/>
      <w:bookmarkStart w:id="18" w:name="_Toc485161079"/>
      <w:bookmarkStart w:id="19" w:name="_Toc485421135"/>
      <w:bookmarkStart w:id="20" w:name="_Toc473902443"/>
      <w:bookmarkStart w:id="21" w:name="_Toc490264337"/>
      <w:r w:rsidRPr="00DB6C69">
        <w:rPr>
          <w:rFonts w:cs="Arial"/>
        </w:rPr>
        <w:t>Bearer type change across cell groups, i.e. MCG or split bearer to/from SCG bearer, without security key change is supported</w:t>
      </w:r>
      <w:r w:rsidR="00464ADE" w:rsidRPr="00DB6C69">
        <w:rPr>
          <w:rFonts w:cs="Arial"/>
        </w:rPr>
        <w:t xml:space="preserve"> for the case where PDCP termination point is not changed</w:t>
      </w:r>
      <w:r w:rsidRPr="00DB6C69">
        <w:rPr>
          <w:rFonts w:cs="Arial"/>
        </w:rPr>
        <w:t>.</w:t>
      </w:r>
      <w:bookmarkEnd w:id="1"/>
      <w:bookmarkEnd w:id="2"/>
      <w:bookmarkEnd w:id="3"/>
      <w:bookmarkEnd w:id="4"/>
      <w:bookmarkEnd w:id="5"/>
      <w:bookmarkEnd w:id="6"/>
      <w:bookmarkEnd w:id="7"/>
      <w:bookmarkEnd w:id="8"/>
      <w:bookmarkEnd w:id="9"/>
      <w:bookmarkEnd w:id="21"/>
    </w:p>
    <w:p w14:paraId="5A4DE68F" w14:textId="31E6401D" w:rsidR="009F4C36" w:rsidRPr="00DB6C69" w:rsidRDefault="00F4229B" w:rsidP="009F4C36">
      <w:pPr>
        <w:pStyle w:val="Proposal"/>
        <w:rPr>
          <w:rFonts w:cs="Arial"/>
        </w:rPr>
      </w:pPr>
      <w:bookmarkStart w:id="22" w:name="_Toc489968098"/>
      <w:bookmarkStart w:id="23" w:name="_Toc490048436"/>
      <w:bookmarkStart w:id="24" w:name="_Toc490049248"/>
      <w:bookmarkStart w:id="25" w:name="_Toc490049442"/>
      <w:bookmarkStart w:id="26" w:name="_Toc490057434"/>
      <w:bookmarkStart w:id="27" w:name="_Toc490168288"/>
      <w:bookmarkStart w:id="28" w:name="_Toc490213029"/>
      <w:bookmarkStart w:id="29" w:name="_Toc490248139"/>
      <w:bookmarkStart w:id="30" w:name="_Toc490262683"/>
      <w:bookmarkStart w:id="31" w:name="_Toc490264338"/>
      <w:r w:rsidRPr="00DB6C69">
        <w:rPr>
          <w:rFonts w:cs="Arial"/>
        </w:rPr>
        <w:t>Bearer type change without security key change</w:t>
      </w:r>
      <w:r w:rsidR="00F6424B" w:rsidRPr="00DB6C69">
        <w:rPr>
          <w:rFonts w:cs="Arial"/>
        </w:rPr>
        <w:t>,</w:t>
      </w:r>
      <w:r w:rsidRPr="00DB6C69">
        <w:rPr>
          <w:rFonts w:cs="Arial"/>
        </w:rPr>
        <w:t xml:space="preserve"> with </w:t>
      </w:r>
      <w:r w:rsidR="00032E75" w:rsidRPr="00DB6C69">
        <w:rPr>
          <w:rFonts w:cs="Arial"/>
        </w:rPr>
        <w:t xml:space="preserve">potential data loss on MAC and </w:t>
      </w:r>
      <w:r w:rsidR="00543655" w:rsidRPr="00DB6C69">
        <w:rPr>
          <w:rFonts w:cs="Arial"/>
        </w:rPr>
        <w:t>RLC</w:t>
      </w:r>
      <w:r w:rsidR="00032E75" w:rsidRPr="00DB6C69">
        <w:rPr>
          <w:rFonts w:cs="Arial"/>
        </w:rPr>
        <w:t xml:space="preserve"> can be handled by PDCP retransmissions, e.g. </w:t>
      </w:r>
      <w:r w:rsidR="0070702B" w:rsidRPr="00DB6C69">
        <w:rPr>
          <w:rFonts w:cs="Arial"/>
        </w:rPr>
        <w:t>with</w:t>
      </w:r>
      <w:r w:rsidR="00032E75" w:rsidRPr="00DB6C69">
        <w:rPr>
          <w:rFonts w:cs="Arial"/>
        </w:rPr>
        <w:t xml:space="preserve"> the PDCP data recovery procedure.</w:t>
      </w:r>
      <w:bookmarkEnd w:id="10"/>
      <w:bookmarkEnd w:id="11"/>
      <w:bookmarkEnd w:id="12"/>
      <w:bookmarkEnd w:id="13"/>
      <w:bookmarkEnd w:id="14"/>
      <w:bookmarkEnd w:id="15"/>
      <w:bookmarkEnd w:id="16"/>
      <w:bookmarkEnd w:id="17"/>
      <w:bookmarkEnd w:id="18"/>
      <w:bookmarkEnd w:id="19"/>
      <w:bookmarkEnd w:id="22"/>
      <w:bookmarkEnd w:id="23"/>
      <w:bookmarkEnd w:id="24"/>
      <w:bookmarkEnd w:id="25"/>
      <w:bookmarkEnd w:id="26"/>
      <w:bookmarkEnd w:id="27"/>
      <w:bookmarkEnd w:id="28"/>
      <w:bookmarkEnd w:id="29"/>
      <w:bookmarkEnd w:id="30"/>
      <w:bookmarkEnd w:id="31"/>
      <w:r w:rsidR="00032E75" w:rsidRPr="00DB6C69">
        <w:rPr>
          <w:rFonts w:cs="Arial"/>
        </w:rPr>
        <w:t xml:space="preserve"> </w:t>
      </w:r>
      <w:bookmarkEnd w:id="20"/>
    </w:p>
    <w:p w14:paraId="0A5AE0FA" w14:textId="3E8AFF72" w:rsidR="00941C99" w:rsidRDefault="00941C99" w:rsidP="00AD0C47">
      <w:pPr>
        <w:pStyle w:val="BodyText"/>
      </w:pPr>
    </w:p>
    <w:p w14:paraId="7BC97A4B" w14:textId="77777777" w:rsidR="00941C99" w:rsidRPr="00DB6C69" w:rsidRDefault="00941C99" w:rsidP="00AD0C47">
      <w:pPr>
        <w:pStyle w:val="Heading3"/>
      </w:pPr>
      <w:r w:rsidRPr="00DB6C69">
        <w:t>Frequent bearer type changes</w:t>
      </w:r>
    </w:p>
    <w:p w14:paraId="7B6593F1" w14:textId="541888D0" w:rsidR="00941C99" w:rsidRPr="00DB6C69" w:rsidRDefault="00941C99" w:rsidP="00941C99">
      <w:pPr>
        <w:rPr>
          <w:rFonts w:cs="Arial"/>
        </w:rPr>
      </w:pPr>
      <w:r>
        <w:rPr>
          <w:rFonts w:cs="Arial"/>
        </w:rPr>
        <w:t>I</w:t>
      </w:r>
      <w:r w:rsidRPr="00DB6C69">
        <w:rPr>
          <w:rFonts w:cs="Arial"/>
        </w:rPr>
        <w:t xml:space="preserve">t would be good </w:t>
      </w:r>
      <w:r>
        <w:rPr>
          <w:rFonts w:cs="Arial"/>
        </w:rPr>
        <w:t xml:space="preserve">if NR could handle </w:t>
      </w:r>
      <w:r w:rsidRPr="00DB6C69">
        <w:rPr>
          <w:rFonts w:cs="Arial"/>
        </w:rPr>
        <w:t xml:space="preserve">frequent bearer type changes in an efficient way. In general, the most frequent reconfigurations are related to data activity, e.g. RRC state transitions due to short and bursty data sessions. Considering that SCG is not supported in IDLE </w:t>
      </w:r>
      <w:r w:rsidR="005B4C44">
        <w:rPr>
          <w:rFonts w:cs="Arial"/>
        </w:rPr>
        <w:t>n</w:t>
      </w:r>
      <w:r w:rsidRPr="00DB6C69">
        <w:rPr>
          <w:rFonts w:cs="Arial"/>
        </w:rPr>
        <w:t>or INACT</w:t>
      </w:r>
      <w:r w:rsidR="00DA736E">
        <w:rPr>
          <w:rFonts w:cs="Arial"/>
        </w:rPr>
        <w:t>IVE states, a split bearer in EN</w:t>
      </w:r>
      <w:r w:rsidRPr="00DB6C69">
        <w:rPr>
          <w:rFonts w:cs="Arial"/>
        </w:rPr>
        <w:t>-DC, will need to be reconfigured into non-split bearer</w:t>
      </w:r>
      <w:r w:rsidR="00DA736E">
        <w:rPr>
          <w:rFonts w:cs="Arial"/>
        </w:rPr>
        <w:t xml:space="preserve"> and then, once the UE has moved back to CONNECTED state</w:t>
      </w:r>
      <w:r w:rsidRPr="00DB6C69">
        <w:rPr>
          <w:rFonts w:cs="Arial"/>
        </w:rPr>
        <w:t>,</w:t>
      </w:r>
      <w:r w:rsidR="00DA736E">
        <w:rPr>
          <w:rFonts w:cs="Arial"/>
        </w:rPr>
        <w:t xml:space="preserve"> a second reconfiguration is needed to change bearer type from non-split to split, once measurement results for secondary cell is available</w:t>
      </w:r>
      <w:r w:rsidRPr="00DB6C69">
        <w:rPr>
          <w:rFonts w:cs="Arial"/>
        </w:rPr>
        <w:t>.</w:t>
      </w:r>
      <w:r w:rsidR="00DA736E">
        <w:rPr>
          <w:rFonts w:cs="Arial"/>
        </w:rPr>
        <w:t xml:space="preserve"> From e2e performance point of view it would be good if this second reconfiguration could occur without PDCP re-establishment, since that would cause an interrupt in the ongoing data transmission</w:t>
      </w:r>
      <w:r w:rsidR="00C522E5">
        <w:rPr>
          <w:rFonts w:cs="Arial"/>
        </w:rPr>
        <w:t xml:space="preserve"> when TCP is trying to ramp up</w:t>
      </w:r>
      <w:r w:rsidR="00DA736E">
        <w:rPr>
          <w:rFonts w:cs="Arial"/>
        </w:rPr>
        <w:t xml:space="preserve">. </w:t>
      </w:r>
    </w:p>
    <w:p w14:paraId="02E978C5" w14:textId="77777777" w:rsidR="00941C99" w:rsidRPr="00DB6C69" w:rsidRDefault="00941C99" w:rsidP="00941C99">
      <w:pPr>
        <w:rPr>
          <w:rFonts w:cs="Arial"/>
        </w:rPr>
      </w:pPr>
      <w:r w:rsidRPr="00DB6C69">
        <w:rPr>
          <w:rFonts w:cs="Arial"/>
        </w:rPr>
        <w:t>Another cause for bearer type change that may also become frequent with decreasing cell sizes is UEs moving in and out of NR coverage in places with spotty NR coverage. Like state transitions, this can also create frequent bearer type changes between split and non-split bearers.</w:t>
      </w:r>
    </w:p>
    <w:p w14:paraId="51CAC68D" w14:textId="77777777" w:rsidR="00941C99" w:rsidRPr="00DB6C69" w:rsidRDefault="00941C99" w:rsidP="00AD0C47">
      <w:pPr>
        <w:pStyle w:val="Heading4"/>
      </w:pPr>
      <w:r w:rsidRPr="00DB6C69">
        <w:t>Non-split to split bearer type changes</w:t>
      </w:r>
    </w:p>
    <w:p w14:paraId="2A1AFBD3" w14:textId="77777777" w:rsidR="00941C99" w:rsidRPr="00DB6C69" w:rsidRDefault="00941C99" w:rsidP="00941C99">
      <w:pPr>
        <w:rPr>
          <w:rFonts w:cs="Arial"/>
        </w:rPr>
      </w:pPr>
      <w:r w:rsidRPr="00DB6C69">
        <w:rPr>
          <w:rFonts w:cs="Arial"/>
        </w:rPr>
        <w:t>There are three cases of non-split to split bearer transition:</w:t>
      </w:r>
    </w:p>
    <w:p w14:paraId="683B84B9" w14:textId="1559F0BB" w:rsidR="00941C99" w:rsidRPr="00254C14" w:rsidRDefault="00941C99" w:rsidP="00254C14">
      <w:pPr>
        <w:pStyle w:val="ListParagraph"/>
        <w:numPr>
          <w:ilvl w:val="0"/>
          <w:numId w:val="20"/>
        </w:numPr>
        <w:rPr>
          <w:rFonts w:cs="Arial"/>
        </w:rPr>
      </w:pPr>
      <w:r w:rsidRPr="00DB6C69">
        <w:rPr>
          <w:rFonts w:cs="Arial"/>
        </w:rPr>
        <w:t>LTE DRB to split bearer. This transition will occur each time EN-DC operation is established, where the UE is directly configured with split bearer, e.g. due to user activity moving in and out of sleep state or movement in and out of NR coverage</w:t>
      </w:r>
      <w:r w:rsidRPr="00254C14">
        <w:rPr>
          <w:rFonts w:cs="Arial"/>
        </w:rPr>
        <w:t>.</w:t>
      </w:r>
      <w:r w:rsidR="00254C14">
        <w:rPr>
          <w:rFonts w:cs="Arial"/>
        </w:rPr>
        <w:t xml:space="preserve"> If LTE PDCP is used for the LTE DRB, this would mean a DPCP version change when configuring the split bearer that uses NR PDCP.</w:t>
      </w:r>
      <w:r w:rsidR="00380157">
        <w:rPr>
          <w:rFonts w:cs="Arial"/>
        </w:rPr>
        <w:t xml:space="preserve"> As explained in section </w:t>
      </w:r>
      <w:r w:rsidR="00380157">
        <w:rPr>
          <w:rFonts w:cs="Arial"/>
        </w:rPr>
        <w:fldChar w:fldCharType="begin"/>
      </w:r>
      <w:r w:rsidR="00380157">
        <w:rPr>
          <w:rFonts w:cs="Arial"/>
        </w:rPr>
        <w:instrText xml:space="preserve"> REF _Ref490170268 \n \h </w:instrText>
      </w:r>
      <w:r w:rsidR="00380157">
        <w:rPr>
          <w:rFonts w:cs="Arial"/>
        </w:rPr>
      </w:r>
      <w:r w:rsidR="00380157">
        <w:rPr>
          <w:rFonts w:cs="Arial"/>
        </w:rPr>
        <w:fldChar w:fldCharType="separate"/>
      </w:r>
      <w:r w:rsidR="00380157">
        <w:rPr>
          <w:rFonts w:cs="Arial"/>
        </w:rPr>
        <w:t>2.1.2</w:t>
      </w:r>
      <w:r w:rsidR="00380157">
        <w:rPr>
          <w:rFonts w:cs="Arial"/>
        </w:rPr>
        <w:fldChar w:fldCharType="end"/>
      </w:r>
      <w:r w:rsidR="00380157">
        <w:rPr>
          <w:rFonts w:cs="Arial"/>
        </w:rPr>
        <w:t>,</w:t>
      </w:r>
      <w:r w:rsidR="00254C14">
        <w:rPr>
          <w:rFonts w:cs="Arial"/>
        </w:rPr>
        <w:t xml:space="preserve"> </w:t>
      </w:r>
      <w:r w:rsidR="00380157">
        <w:rPr>
          <w:rFonts w:cs="Arial"/>
        </w:rPr>
        <w:t>s</w:t>
      </w:r>
      <w:r w:rsidR="00254C14" w:rsidRPr="00DB6C69">
        <w:rPr>
          <w:rFonts w:cs="Arial"/>
        </w:rPr>
        <w:t xml:space="preserve">uch change </w:t>
      </w:r>
      <w:r w:rsidR="00380157">
        <w:rPr>
          <w:rFonts w:cs="Arial"/>
        </w:rPr>
        <w:t xml:space="preserve">would require a PDCP re-establishment like procedure, to ensure PDCP PDUs of the old LTE PDCP entity does not reach the newly configured NR PDCP entity. </w:t>
      </w:r>
      <w:r w:rsidR="00ED1B38">
        <w:rPr>
          <w:rFonts w:cs="Arial"/>
        </w:rPr>
        <w:t xml:space="preserve">That would however cause the unwanted interruption in data transmission. </w:t>
      </w:r>
    </w:p>
    <w:p w14:paraId="4E5F9A74" w14:textId="3E2EE4DA" w:rsidR="00941C99" w:rsidRPr="00DB6C69" w:rsidRDefault="00941C99" w:rsidP="00941C99">
      <w:pPr>
        <w:pStyle w:val="ListParagraph"/>
        <w:numPr>
          <w:ilvl w:val="0"/>
          <w:numId w:val="20"/>
        </w:numPr>
        <w:rPr>
          <w:rFonts w:cs="Arial"/>
        </w:rPr>
      </w:pPr>
      <w:r w:rsidRPr="00DB6C69">
        <w:rPr>
          <w:rFonts w:cs="Arial"/>
        </w:rPr>
        <w:t xml:space="preserve">MCG DRB to split bearer. This transition will only occur within RRC_CONNECTED, with DC configured. Considering that the best performance is achieved if split bearer can be configured immediately at setup of DC, optimising this transition may be regarded of secondary importance. </w:t>
      </w:r>
    </w:p>
    <w:p w14:paraId="44B52789" w14:textId="77777777" w:rsidR="00941C99" w:rsidRPr="00DB6C69" w:rsidRDefault="00941C99" w:rsidP="00941C99">
      <w:pPr>
        <w:pStyle w:val="ListParagraph"/>
        <w:numPr>
          <w:ilvl w:val="0"/>
          <w:numId w:val="20"/>
        </w:numPr>
        <w:rPr>
          <w:rFonts w:cs="Arial"/>
        </w:rPr>
      </w:pPr>
      <w:r w:rsidRPr="00DB6C69">
        <w:rPr>
          <w:rFonts w:cs="Arial"/>
        </w:rPr>
        <w:t>SCG DRB to split bearer. If there is no change of network node terminating PDCP, this transition can be made without PDCP re-establishment, as NR PDCP is used for both bearer types.</w:t>
      </w:r>
    </w:p>
    <w:p w14:paraId="74BA92F9" w14:textId="1F20C012" w:rsidR="00941C99" w:rsidRPr="00DB6C69" w:rsidRDefault="00941C99" w:rsidP="00941C99">
      <w:pPr>
        <w:pStyle w:val="BodyText"/>
        <w:rPr>
          <w:rFonts w:cs="Arial"/>
        </w:rPr>
      </w:pPr>
      <w:r w:rsidRPr="00DB6C69">
        <w:rPr>
          <w:rFonts w:cs="Arial"/>
        </w:rPr>
        <w:t>In summary, in order to support case 1 efficiently,</w:t>
      </w:r>
      <w:r w:rsidR="00ED1B38">
        <w:rPr>
          <w:rFonts w:cs="Arial"/>
        </w:rPr>
        <w:t xml:space="preserve"> </w:t>
      </w:r>
      <w:r w:rsidRPr="00DB6C69">
        <w:rPr>
          <w:rFonts w:cs="Arial"/>
        </w:rPr>
        <w:t>it would be important to support the setup of DRB in LTE using NR PDCP for EN-DC capable UEs</w:t>
      </w:r>
      <w:r w:rsidR="00ED1B38">
        <w:rPr>
          <w:rFonts w:cs="Arial"/>
        </w:rPr>
        <w:t>, to avoid the PDCP version change during state transitions</w:t>
      </w:r>
      <w:r w:rsidRPr="00DB6C69">
        <w:rPr>
          <w:rFonts w:cs="Arial"/>
        </w:rPr>
        <w:t xml:space="preserve">. With the agreements from last meeting [RAN2#AH2] (see annex) that </w:t>
      </w:r>
    </w:p>
    <w:p w14:paraId="34A5635A" w14:textId="77777777" w:rsidR="00941C99" w:rsidRPr="00DB6C69" w:rsidRDefault="00941C99" w:rsidP="00941C99">
      <w:pPr>
        <w:pStyle w:val="BodyText"/>
        <w:numPr>
          <w:ilvl w:val="0"/>
          <w:numId w:val="23"/>
        </w:numPr>
        <w:spacing w:after="100" w:afterAutospacing="1"/>
        <w:ind w:left="1281" w:hanging="357"/>
        <w:rPr>
          <w:rFonts w:cs="Arial"/>
        </w:rPr>
      </w:pPr>
      <w:r w:rsidRPr="00DB6C69">
        <w:rPr>
          <w:rFonts w:cs="Arial"/>
        </w:rPr>
        <w:t>the NR PDCP configuration is contained in separate NR container different from the NR container for other NR configurations, and</w:t>
      </w:r>
    </w:p>
    <w:p w14:paraId="47E14824" w14:textId="77777777" w:rsidR="00941C99" w:rsidRPr="00DB6C69" w:rsidRDefault="00941C99" w:rsidP="00941C99">
      <w:pPr>
        <w:pStyle w:val="BodyText"/>
        <w:numPr>
          <w:ilvl w:val="0"/>
          <w:numId w:val="23"/>
        </w:numPr>
        <w:rPr>
          <w:rFonts w:cs="Arial"/>
        </w:rPr>
      </w:pPr>
      <w:r w:rsidRPr="00DB6C69">
        <w:rPr>
          <w:rFonts w:cs="Arial"/>
        </w:rPr>
        <w:t>that if the PDCP is anchored in MN, the NR PDCP config is generated by MN itself,</w:t>
      </w:r>
    </w:p>
    <w:p w14:paraId="28995BC1" w14:textId="77777777" w:rsidR="00941C99" w:rsidRPr="00DB6C69" w:rsidRDefault="00941C99" w:rsidP="00941C99">
      <w:pPr>
        <w:pStyle w:val="BodyText"/>
        <w:rPr>
          <w:rFonts w:cs="Arial"/>
        </w:rPr>
      </w:pPr>
      <w:r w:rsidRPr="00DB6C69">
        <w:rPr>
          <w:rFonts w:cs="Arial"/>
        </w:rPr>
        <w:t>it should be possible for the MN implementation to include the NR PDCP configuration also when configuring the LTE DRB in similar way.</w:t>
      </w:r>
    </w:p>
    <w:p w14:paraId="1E61CA51" w14:textId="77777777" w:rsidR="00941C99" w:rsidRPr="00DB6C69" w:rsidRDefault="00941C99" w:rsidP="00941C99">
      <w:pPr>
        <w:pStyle w:val="Proposal"/>
        <w:rPr>
          <w:rFonts w:cs="Arial"/>
        </w:rPr>
      </w:pPr>
      <w:bookmarkStart w:id="32" w:name="_Toc490168290"/>
      <w:bookmarkStart w:id="33" w:name="_Toc490213031"/>
      <w:bookmarkStart w:id="34" w:name="_Toc490248140"/>
      <w:bookmarkStart w:id="35" w:name="_Toc490262684"/>
      <w:bookmarkStart w:id="36" w:name="_Toc490264339"/>
      <w:r w:rsidRPr="00DB6C69">
        <w:rPr>
          <w:rFonts w:cs="Arial"/>
        </w:rPr>
        <w:t>It should be possible to establish a LTE DRB with NR PDCP for EN-DC capable UE.</w:t>
      </w:r>
      <w:bookmarkEnd w:id="32"/>
      <w:bookmarkEnd w:id="33"/>
      <w:bookmarkEnd w:id="34"/>
      <w:bookmarkEnd w:id="35"/>
      <w:bookmarkEnd w:id="36"/>
    </w:p>
    <w:p w14:paraId="289B38AE" w14:textId="77777777" w:rsidR="00941C99" w:rsidRPr="00DB6C69" w:rsidRDefault="00941C99" w:rsidP="00AD0C47">
      <w:pPr>
        <w:pStyle w:val="Heading4"/>
      </w:pPr>
      <w:r w:rsidRPr="00DB6C69">
        <w:t>Split to non-split bearer type change</w:t>
      </w:r>
    </w:p>
    <w:p w14:paraId="65DA27FA" w14:textId="776CFFF7" w:rsidR="00941C99" w:rsidRPr="00DB6C69" w:rsidRDefault="00941C99" w:rsidP="00941C99">
      <w:pPr>
        <w:rPr>
          <w:rFonts w:cs="Arial"/>
        </w:rPr>
      </w:pPr>
      <w:r w:rsidRPr="00DB6C69">
        <w:rPr>
          <w:rFonts w:cs="Arial"/>
        </w:rPr>
        <w:t>PDCP re-establishment during switch from split to MCG or SCG bearer may as such not impact e2e performance, since the link rate will anyway decrease. On the other hand, considering a potential subsequent up-switch to split bearer when NR coverage again becomes available, it would be preferable to keep the PDCP version, encryption key and network termination point that was used during split bearer operation, so that PDCP re-establishment is not needed during the switch back to split bearer operation, where the available link rate will increase and PDCP re-establishment will have negative impact on e2e performance.</w:t>
      </w:r>
    </w:p>
    <w:p w14:paraId="7D3C8792" w14:textId="77777777" w:rsidR="00941C99" w:rsidRPr="00DB6C69" w:rsidRDefault="00941C99" w:rsidP="00941C99">
      <w:pPr>
        <w:pStyle w:val="Proposal"/>
        <w:rPr>
          <w:rFonts w:cs="Arial"/>
        </w:rPr>
      </w:pPr>
      <w:bookmarkStart w:id="37" w:name="_Toc490168291"/>
      <w:bookmarkStart w:id="38" w:name="_Toc490213032"/>
      <w:bookmarkStart w:id="39" w:name="_Toc490248141"/>
      <w:bookmarkStart w:id="40" w:name="_Toc490262685"/>
      <w:bookmarkStart w:id="41" w:name="_Toc490264340"/>
      <w:r w:rsidRPr="00DB6C69">
        <w:rPr>
          <w:rFonts w:cs="Arial"/>
        </w:rPr>
        <w:lastRenderedPageBreak/>
        <w:t>It should be possible to keep the PDCP termination point and version during split to LTE DRB bearer type switch.</w:t>
      </w:r>
      <w:bookmarkEnd w:id="37"/>
      <w:bookmarkEnd w:id="38"/>
      <w:bookmarkEnd w:id="39"/>
      <w:bookmarkEnd w:id="40"/>
      <w:bookmarkEnd w:id="41"/>
    </w:p>
    <w:p w14:paraId="75768284" w14:textId="632CBA7B" w:rsidR="00941C99" w:rsidRDefault="00941C99" w:rsidP="00AD0C47">
      <w:pPr>
        <w:pStyle w:val="BodyText"/>
      </w:pPr>
    </w:p>
    <w:p w14:paraId="45FAF44C" w14:textId="001F7C89" w:rsidR="00380157" w:rsidRDefault="00380157" w:rsidP="00AD0C47">
      <w:pPr>
        <w:pStyle w:val="Heading3"/>
      </w:pPr>
      <w:bookmarkStart w:id="42" w:name="_Ref490170268"/>
      <w:r>
        <w:t>PDCP version change</w:t>
      </w:r>
      <w:bookmarkEnd w:id="42"/>
    </w:p>
    <w:p w14:paraId="6650631E" w14:textId="1652B2D4" w:rsidR="00380157" w:rsidRPr="00DB6C69" w:rsidRDefault="00AE2918" w:rsidP="00380157">
      <w:pPr>
        <w:pStyle w:val="BodyText"/>
        <w:rPr>
          <w:rFonts w:cs="Arial"/>
        </w:rPr>
      </w:pPr>
      <w:r>
        <w:rPr>
          <w:rFonts w:cs="Arial"/>
        </w:rPr>
        <w:t xml:space="preserve">There may be </w:t>
      </w:r>
      <w:r w:rsidR="00A7690A">
        <w:rPr>
          <w:rFonts w:cs="Arial"/>
        </w:rPr>
        <w:t xml:space="preserve">situations in which the </w:t>
      </w:r>
      <w:r w:rsidR="00333B8C">
        <w:rPr>
          <w:rFonts w:cs="Arial"/>
        </w:rPr>
        <w:t>PDCP version need to be changed, e.g.</w:t>
      </w:r>
      <w:r w:rsidR="00A7690A">
        <w:rPr>
          <w:rFonts w:cs="Arial"/>
        </w:rPr>
        <w:t xml:space="preserve"> </w:t>
      </w:r>
      <w:r w:rsidR="00333B8C">
        <w:rPr>
          <w:rFonts w:cs="Arial"/>
        </w:rPr>
        <w:t xml:space="preserve">during </w:t>
      </w:r>
      <w:r w:rsidR="00A7690A">
        <w:rPr>
          <w:rFonts w:cs="Arial"/>
        </w:rPr>
        <w:t xml:space="preserve">handover from legacy LTE eNB, where the source eNB does not support NR PDCP. </w:t>
      </w:r>
      <w:r w:rsidR="00380157" w:rsidRPr="00DB6C69">
        <w:rPr>
          <w:rFonts w:cs="Arial"/>
        </w:rPr>
        <w:t xml:space="preserve">Such change of the PDCP version in the receiving entity must be synchronized with the used PDCP version in the transmitter as well as all PDCP PDUs of a certain version in flight. E.g. when the PDCP receiver is changed to NR PDCP, the UE must not receive any more PDCP PDUs based on an LTE PDCP format. For these reasons a synchronized reconfiguration procedure should be considered, and lower layers, i.e. MAC and RLC should be flushed. However, the procedure should also be lossless, i.e. the bearer type reconfiguration including PDCP version change should not be visible to higher layers such as TCP. Such a procedure would be in-line with PDCP reestablishment, as used today, however enhanced to support also reestablishment between LTE PDCP and NR PDCP (and vice versa), at least when SN length in LTE and NR are the same. </w:t>
      </w:r>
    </w:p>
    <w:p w14:paraId="34F76385" w14:textId="77777777" w:rsidR="00380157" w:rsidRPr="00DB6C69" w:rsidRDefault="00380157" w:rsidP="00380157">
      <w:pPr>
        <w:pStyle w:val="Proposal"/>
        <w:rPr>
          <w:rFonts w:cs="Arial"/>
        </w:rPr>
      </w:pPr>
      <w:bookmarkStart w:id="43" w:name="_Toc490213033"/>
      <w:bookmarkStart w:id="44" w:name="_Toc490248142"/>
      <w:bookmarkStart w:id="45" w:name="_Toc490262686"/>
      <w:bookmarkStart w:id="46" w:name="_Toc490264341"/>
      <w:r w:rsidRPr="00DB6C69">
        <w:rPr>
          <w:rFonts w:cs="Arial"/>
        </w:rPr>
        <w:t>PDCP reestablishment procedure is supported across PDCP versions (i.e. LTE PDCP to NR PDCP and vice versa).</w:t>
      </w:r>
      <w:bookmarkEnd w:id="43"/>
      <w:bookmarkEnd w:id="44"/>
      <w:bookmarkEnd w:id="45"/>
      <w:bookmarkEnd w:id="46"/>
    </w:p>
    <w:p w14:paraId="31FCA231" w14:textId="77777777" w:rsidR="00941C99" w:rsidRDefault="00941C99" w:rsidP="00AD0C47">
      <w:pPr>
        <w:pStyle w:val="BodyText"/>
      </w:pPr>
    </w:p>
    <w:p w14:paraId="6529B3BD" w14:textId="320BD0ED" w:rsidR="00772E3F" w:rsidRPr="00DB6C69" w:rsidRDefault="00772E3F" w:rsidP="00772E3F">
      <w:pPr>
        <w:pStyle w:val="Heading2"/>
      </w:pPr>
      <w:r w:rsidRPr="00DB6C69">
        <w:t>Bearer type change with security key change</w:t>
      </w:r>
    </w:p>
    <w:p w14:paraId="3A85FBC6" w14:textId="38CA9CF1" w:rsidR="004D755B" w:rsidRPr="00DB6C69" w:rsidRDefault="004375CA" w:rsidP="00DB6C69">
      <w:pPr>
        <w:pStyle w:val="BodyText"/>
        <w:rPr>
          <w:rFonts w:cs="Arial"/>
        </w:rPr>
      </w:pPr>
      <w:r w:rsidRPr="00DB6C69">
        <w:rPr>
          <w:rFonts w:cs="Arial"/>
        </w:rPr>
        <w:t xml:space="preserve">In RAN2#AH2, it was agreed that for SCG bearer, when S-KgNB is changed or PDCP anchor is changed then SCG PDCP </w:t>
      </w:r>
      <w:r w:rsidR="009757FE">
        <w:rPr>
          <w:rFonts w:cs="Arial"/>
        </w:rPr>
        <w:t xml:space="preserve">is </w:t>
      </w:r>
      <w:r w:rsidRPr="00DB6C69">
        <w:rPr>
          <w:rFonts w:cs="Arial"/>
        </w:rPr>
        <w:t>re-established</w:t>
      </w:r>
      <w:r w:rsidR="009757FE">
        <w:rPr>
          <w:rFonts w:cs="Arial"/>
        </w:rPr>
        <w:t xml:space="preserve"> and</w:t>
      </w:r>
      <w:r w:rsidRPr="00DB6C69">
        <w:rPr>
          <w:rFonts w:cs="Arial"/>
        </w:rPr>
        <w:t xml:space="preserve"> SCG RLC </w:t>
      </w:r>
      <w:r w:rsidR="009757FE">
        <w:rPr>
          <w:rFonts w:cs="Arial"/>
        </w:rPr>
        <w:t xml:space="preserve">is </w:t>
      </w:r>
      <w:r w:rsidRPr="00DB6C69">
        <w:rPr>
          <w:rFonts w:cs="Arial"/>
        </w:rPr>
        <w:t>re-established</w:t>
      </w:r>
      <w:r w:rsidR="009757FE">
        <w:rPr>
          <w:rFonts w:cs="Arial"/>
        </w:rPr>
        <w:t xml:space="preserve"> (</w:t>
      </w:r>
      <w:r w:rsidRPr="00DB6C69">
        <w:rPr>
          <w:rFonts w:cs="Arial"/>
        </w:rPr>
        <w:t>see Annex</w:t>
      </w:r>
      <w:r w:rsidR="009757FE">
        <w:rPr>
          <w:rFonts w:cs="Arial"/>
        </w:rPr>
        <w:t>)</w:t>
      </w:r>
      <w:r w:rsidRPr="00DB6C69">
        <w:rPr>
          <w:rFonts w:cs="Arial"/>
        </w:rPr>
        <w:t>. We think this agreement can be generalized to apply to all bearer types.</w:t>
      </w:r>
    </w:p>
    <w:p w14:paraId="51D87989" w14:textId="151B6D8E" w:rsidR="004375CA" w:rsidRPr="00DB6C69" w:rsidRDefault="004375CA" w:rsidP="004375CA">
      <w:pPr>
        <w:pStyle w:val="Proposal"/>
        <w:rPr>
          <w:rFonts w:cs="Arial"/>
        </w:rPr>
      </w:pPr>
      <w:bookmarkStart w:id="47" w:name="_Toc490048438"/>
      <w:bookmarkStart w:id="48" w:name="_Toc490049250"/>
      <w:bookmarkStart w:id="49" w:name="_Toc490049444"/>
      <w:bookmarkStart w:id="50" w:name="_Toc490057436"/>
      <w:bookmarkStart w:id="51" w:name="_Toc490168292"/>
      <w:bookmarkStart w:id="52" w:name="_Toc490213034"/>
      <w:bookmarkStart w:id="53" w:name="_Toc490248143"/>
      <w:bookmarkStart w:id="54" w:name="_Toc490262687"/>
      <w:bookmarkStart w:id="55" w:name="_Toc489968101"/>
      <w:bookmarkStart w:id="56" w:name="_Toc490264342"/>
      <w:r w:rsidRPr="00DB6C69">
        <w:rPr>
          <w:rFonts w:cs="Arial"/>
        </w:rPr>
        <w:t>For all bearer types, when the security key is changed, PDCP and RLC are re-established.</w:t>
      </w:r>
      <w:bookmarkEnd w:id="47"/>
      <w:bookmarkEnd w:id="48"/>
      <w:bookmarkEnd w:id="49"/>
      <w:bookmarkEnd w:id="50"/>
      <w:bookmarkEnd w:id="51"/>
      <w:bookmarkEnd w:id="52"/>
      <w:bookmarkEnd w:id="53"/>
      <w:bookmarkEnd w:id="54"/>
      <w:bookmarkEnd w:id="56"/>
      <w:r w:rsidRPr="00DB6C69">
        <w:rPr>
          <w:rFonts w:cs="Arial"/>
        </w:rPr>
        <w:t xml:space="preserve"> </w:t>
      </w:r>
      <w:bookmarkEnd w:id="55"/>
    </w:p>
    <w:p w14:paraId="5B2A4BE4" w14:textId="24219508" w:rsidR="00C75C18" w:rsidRPr="00DB6C69" w:rsidRDefault="00A3316C" w:rsidP="00A570CD">
      <w:pPr>
        <w:rPr>
          <w:rFonts w:cs="Arial"/>
        </w:rPr>
      </w:pPr>
      <w:r w:rsidRPr="00DB6C69">
        <w:rPr>
          <w:rFonts w:cs="Arial"/>
        </w:rPr>
        <w:t xml:space="preserve">The required MAC actions during security key change were left FFS in RAN2#AH2. </w:t>
      </w:r>
      <w:r w:rsidR="00C75C18" w:rsidRPr="00DB6C69">
        <w:rPr>
          <w:rFonts w:cs="Arial"/>
        </w:rPr>
        <w:t xml:space="preserve">In email </w:t>
      </w:r>
      <w:r w:rsidR="00322FCA" w:rsidRPr="00DB6C69">
        <w:rPr>
          <w:rFonts w:cs="Arial"/>
        </w:rPr>
        <w:t>discussion [AH2#16],</w:t>
      </w:r>
      <w:r w:rsidR="00C75C18" w:rsidRPr="00DB6C69">
        <w:rPr>
          <w:rFonts w:cs="Arial"/>
        </w:rPr>
        <w:t xml:space="preserve"> </w:t>
      </w:r>
      <w:r w:rsidR="00322FCA" w:rsidRPr="00DB6C69">
        <w:rPr>
          <w:rFonts w:cs="Arial"/>
        </w:rPr>
        <w:t xml:space="preserve">most companies agreed </w:t>
      </w:r>
      <w:r w:rsidRPr="00DB6C69">
        <w:rPr>
          <w:rFonts w:cs="Arial"/>
        </w:rPr>
        <w:t xml:space="preserve">that there is no security confusion issue for MCG to/from SCG bearer type change, since </w:t>
      </w:r>
      <w:r w:rsidR="00CA1080">
        <w:t>old PDCP PDUs possibly pending in the source leg’s MAC layer will not reach the newly established PDCP entity anymore</w:t>
      </w:r>
      <w:r w:rsidR="00322FCA" w:rsidRPr="00DB6C69">
        <w:rPr>
          <w:rFonts w:cs="Arial"/>
        </w:rPr>
        <w:t xml:space="preserve">. </w:t>
      </w:r>
      <w:r w:rsidR="00F90A1B" w:rsidRPr="00DB6C69">
        <w:rPr>
          <w:rFonts w:cs="Arial"/>
        </w:rPr>
        <w:t xml:space="preserve">In the table below we summarize </w:t>
      </w:r>
      <w:r w:rsidRPr="00DB6C69">
        <w:rPr>
          <w:rFonts w:cs="Arial"/>
        </w:rPr>
        <w:t xml:space="preserve">for which bearer type changes there exist a risk of security key confusion in MCG and SCG MAC. </w:t>
      </w:r>
      <w:r w:rsidR="004B222E" w:rsidRPr="00DB6C69">
        <w:rPr>
          <w:rFonts w:cs="Arial"/>
        </w:rPr>
        <w:t xml:space="preserve">As the </w:t>
      </w:r>
      <w:r w:rsidRPr="00DB6C69">
        <w:rPr>
          <w:rFonts w:cs="Arial"/>
        </w:rPr>
        <w:t xml:space="preserve">risk of security key confusion is independent of the node in which the PDCP entity is terminated, </w:t>
      </w:r>
      <w:r w:rsidR="00983C38" w:rsidRPr="00DB6C69">
        <w:rPr>
          <w:rFonts w:cs="Arial"/>
        </w:rPr>
        <w:t xml:space="preserve">the termination point </w:t>
      </w:r>
      <w:r w:rsidR="008A06C3" w:rsidRPr="00DB6C69">
        <w:rPr>
          <w:rFonts w:cs="Arial"/>
        </w:rPr>
        <w:t xml:space="preserve">of the split bearer </w:t>
      </w:r>
      <w:r w:rsidR="00983C38" w:rsidRPr="00DB6C69">
        <w:rPr>
          <w:rFonts w:cs="Arial"/>
        </w:rPr>
        <w:t xml:space="preserve">is not </w:t>
      </w:r>
      <w:r w:rsidR="008A06C3" w:rsidRPr="00DB6C69">
        <w:rPr>
          <w:rFonts w:cs="Arial"/>
        </w:rPr>
        <w:t>indicated</w:t>
      </w:r>
      <w:r w:rsidR="00983C38" w:rsidRPr="00DB6C69">
        <w:rPr>
          <w:rFonts w:cs="Arial"/>
        </w:rPr>
        <w:t>.</w:t>
      </w:r>
      <w:r w:rsidR="007657A9">
        <w:rPr>
          <w:rFonts w:cs="Arial"/>
        </w:rPr>
        <w:t xml:space="preserve"> </w:t>
      </w:r>
      <w:r w:rsidR="00C05B81">
        <w:rPr>
          <w:rFonts w:cs="Arial"/>
        </w:rPr>
        <w:t>Note that the table capture</w:t>
      </w:r>
      <w:r w:rsidR="008F7521">
        <w:rPr>
          <w:rFonts w:cs="Arial"/>
        </w:rPr>
        <w:t>s</w:t>
      </w:r>
      <w:r w:rsidR="00C05B81" w:rsidRPr="00C05B81">
        <w:rPr>
          <w:rFonts w:cs="Arial"/>
        </w:rPr>
        <w:t xml:space="preserve"> the situation where the UE remains in DC both before and </w:t>
      </w:r>
      <w:r w:rsidR="00C05B81">
        <w:rPr>
          <w:rFonts w:cs="Arial"/>
        </w:rPr>
        <w:t>a</w:t>
      </w:r>
      <w:r w:rsidR="00C05B81" w:rsidRPr="00C05B81">
        <w:rPr>
          <w:rFonts w:cs="Arial"/>
        </w:rPr>
        <w:t>fter</w:t>
      </w:r>
      <w:r w:rsidR="00C05B81">
        <w:rPr>
          <w:rFonts w:cs="Arial"/>
        </w:rPr>
        <w:t xml:space="preserve"> the bearer type switch, i.e. both MCG MAC and SCG MAC exist before and after.</w:t>
      </w:r>
    </w:p>
    <w:p w14:paraId="196DBFE1" w14:textId="5CD2968E" w:rsidR="00F81092" w:rsidRPr="003862F7" w:rsidRDefault="00F81092" w:rsidP="00486175">
      <w:pPr>
        <w:rPr>
          <w:rFonts w:cs="Arial"/>
        </w:rPr>
      </w:pPr>
      <w:r w:rsidRPr="00DB6C69">
        <w:rPr>
          <w:rFonts w:cs="Arial"/>
        </w:rPr>
        <w:t xml:space="preserve">Table </w:t>
      </w:r>
      <w:r w:rsidR="00C05B81" w:rsidRPr="00DB6C69">
        <w:rPr>
          <w:rFonts w:cs="Arial"/>
        </w:rPr>
        <w:fldChar w:fldCharType="begin"/>
      </w:r>
      <w:r w:rsidR="00C05B81" w:rsidRPr="00DB6C69">
        <w:rPr>
          <w:rFonts w:cs="Arial"/>
        </w:rPr>
        <w:instrText xml:space="preserve"> SEQ Table \* ARABIC </w:instrText>
      </w:r>
      <w:r w:rsidR="00C05B81" w:rsidRPr="00DB6C69">
        <w:rPr>
          <w:rFonts w:cs="Arial"/>
        </w:rPr>
        <w:fldChar w:fldCharType="separate"/>
      </w:r>
      <w:r w:rsidR="00AF4F13" w:rsidRPr="00DB6C69">
        <w:rPr>
          <w:rFonts w:cs="Arial"/>
          <w:noProof/>
        </w:rPr>
        <w:t>1</w:t>
      </w:r>
      <w:r w:rsidR="00C05B81" w:rsidRPr="00DB6C69">
        <w:rPr>
          <w:rFonts w:cs="Arial"/>
          <w:noProof/>
        </w:rPr>
        <w:fldChar w:fldCharType="end"/>
      </w:r>
      <w:r w:rsidRPr="00DB6C69">
        <w:rPr>
          <w:rFonts w:cs="Arial"/>
        </w:rPr>
        <w:t xml:space="preserve">: </w:t>
      </w:r>
      <w:r w:rsidR="00A3316C" w:rsidRPr="00DB6C69">
        <w:rPr>
          <w:rFonts w:cs="Arial"/>
        </w:rPr>
        <w:t>Risk of security key confusion</w:t>
      </w:r>
      <w:r w:rsidRPr="00DB6C69">
        <w:rPr>
          <w:rFonts w:cs="Arial"/>
        </w:rPr>
        <w:t xml:space="preserve"> in different bearer type change including security key change.</w:t>
      </w:r>
      <w:r w:rsidR="003862F7">
        <w:rPr>
          <w:rFonts w:cs="Arial"/>
        </w:rPr>
        <w:t xml:space="preserve"> Columns represent bearer type to switch from and</w:t>
      </w:r>
      <w:r w:rsidRPr="00DB6C69">
        <w:rPr>
          <w:rFonts w:cs="Arial"/>
        </w:rPr>
        <w:t xml:space="preserve"> </w:t>
      </w:r>
      <w:r w:rsidR="003862F7">
        <w:rPr>
          <w:rFonts w:cs="Arial"/>
        </w:rPr>
        <w:t>r</w:t>
      </w:r>
      <w:r w:rsidRPr="003862F7">
        <w:rPr>
          <w:rFonts w:cs="Arial"/>
        </w:rPr>
        <w:t>ows represent bearer type</w:t>
      </w:r>
      <w:r w:rsidR="003862F7">
        <w:rPr>
          <w:rFonts w:cs="Arial"/>
        </w:rPr>
        <w:t xml:space="preserve"> switched to.</w:t>
      </w:r>
    </w:p>
    <w:tbl>
      <w:tblPr>
        <w:tblStyle w:val="TableGrid"/>
        <w:tblW w:w="7640" w:type="dxa"/>
        <w:jc w:val="center"/>
        <w:tblLook w:val="04A0" w:firstRow="1" w:lastRow="0" w:firstColumn="1" w:lastColumn="0" w:noHBand="0" w:noVBand="1"/>
      </w:tblPr>
      <w:tblGrid>
        <w:gridCol w:w="1217"/>
        <w:gridCol w:w="1070"/>
        <w:gridCol w:w="1071"/>
        <w:gridCol w:w="1070"/>
        <w:gridCol w:w="1071"/>
        <w:gridCol w:w="1070"/>
        <w:gridCol w:w="1071"/>
      </w:tblGrid>
      <w:tr w:rsidR="00F81092" w:rsidRPr="00DB6C69" w14:paraId="2D2E04F2" w14:textId="77777777" w:rsidTr="00690042">
        <w:trPr>
          <w:trHeight w:val="350"/>
          <w:jc w:val="center"/>
        </w:trPr>
        <w:tc>
          <w:tcPr>
            <w:tcW w:w="1217" w:type="dxa"/>
            <w:vAlign w:val="center"/>
          </w:tcPr>
          <w:p w14:paraId="2266CAFF" w14:textId="3B1E2C5E" w:rsidR="00F81092" w:rsidRPr="00DB6C69" w:rsidRDefault="00690042" w:rsidP="00F40717">
            <w:pPr>
              <w:jc w:val="center"/>
              <w:rPr>
                <w:rFonts w:cs="Arial"/>
              </w:rPr>
            </w:pPr>
            <w:r>
              <w:rPr>
                <w:rFonts w:cs="Arial"/>
              </w:rPr>
              <w:t>From</w:t>
            </w:r>
            <w:r w:rsidR="00F81092" w:rsidRPr="00DB6C69">
              <w:rPr>
                <w:rFonts w:cs="Arial"/>
              </w:rPr>
              <w:t xml:space="preserve"> →</w:t>
            </w:r>
          </w:p>
        </w:tc>
        <w:tc>
          <w:tcPr>
            <w:tcW w:w="2141" w:type="dxa"/>
            <w:gridSpan w:val="2"/>
            <w:vAlign w:val="center"/>
          </w:tcPr>
          <w:p w14:paraId="5C864B36" w14:textId="77777777" w:rsidR="00F81092" w:rsidRPr="00DB6C69" w:rsidRDefault="00F81092" w:rsidP="00F40717">
            <w:pPr>
              <w:jc w:val="center"/>
              <w:rPr>
                <w:rFonts w:cs="Arial"/>
              </w:rPr>
            </w:pPr>
            <w:r w:rsidRPr="00DB6C69">
              <w:rPr>
                <w:rFonts w:cs="Arial"/>
              </w:rPr>
              <w:t>MCG</w:t>
            </w:r>
          </w:p>
        </w:tc>
        <w:tc>
          <w:tcPr>
            <w:tcW w:w="2141" w:type="dxa"/>
            <w:gridSpan w:val="2"/>
            <w:vAlign w:val="center"/>
          </w:tcPr>
          <w:p w14:paraId="50CDC1F4" w14:textId="77777777" w:rsidR="00F81092" w:rsidRPr="00DB6C69" w:rsidRDefault="00F81092" w:rsidP="00F40717">
            <w:pPr>
              <w:jc w:val="center"/>
              <w:rPr>
                <w:rFonts w:cs="Arial"/>
              </w:rPr>
            </w:pPr>
            <w:r w:rsidRPr="00DB6C69">
              <w:rPr>
                <w:rFonts w:cs="Arial"/>
              </w:rPr>
              <w:t>SCG</w:t>
            </w:r>
          </w:p>
        </w:tc>
        <w:tc>
          <w:tcPr>
            <w:tcW w:w="2141" w:type="dxa"/>
            <w:gridSpan w:val="2"/>
            <w:vAlign w:val="center"/>
          </w:tcPr>
          <w:p w14:paraId="00969DBD" w14:textId="60DC576E" w:rsidR="00F81092" w:rsidRPr="00DB6C69" w:rsidRDefault="00F81092" w:rsidP="00F40717">
            <w:pPr>
              <w:jc w:val="center"/>
              <w:rPr>
                <w:rFonts w:cs="Arial"/>
              </w:rPr>
            </w:pPr>
            <w:r w:rsidRPr="00DB6C69">
              <w:rPr>
                <w:rFonts w:cs="Arial"/>
              </w:rPr>
              <w:t>Split</w:t>
            </w:r>
          </w:p>
        </w:tc>
      </w:tr>
      <w:tr w:rsidR="00F81092" w:rsidRPr="00DB6C69" w14:paraId="4CA4F0A8" w14:textId="77777777" w:rsidTr="00690042">
        <w:trPr>
          <w:trHeight w:val="350"/>
          <w:jc w:val="center"/>
        </w:trPr>
        <w:tc>
          <w:tcPr>
            <w:tcW w:w="1217" w:type="dxa"/>
          </w:tcPr>
          <w:p w14:paraId="598094FA" w14:textId="702C3263" w:rsidR="00F81092" w:rsidRPr="00DB6C69" w:rsidRDefault="00690042" w:rsidP="00F40717">
            <w:pPr>
              <w:rPr>
                <w:rFonts w:cs="Arial"/>
              </w:rPr>
            </w:pPr>
            <w:r>
              <w:rPr>
                <w:rFonts w:cs="Arial"/>
              </w:rPr>
              <w:t>To</w:t>
            </w:r>
            <w:r w:rsidR="00F81092" w:rsidRPr="00DB6C69">
              <w:rPr>
                <w:rFonts w:cs="Arial"/>
              </w:rPr>
              <w:t xml:space="preserve"> ↓</w:t>
            </w:r>
          </w:p>
        </w:tc>
        <w:tc>
          <w:tcPr>
            <w:tcW w:w="1070" w:type="dxa"/>
            <w:vAlign w:val="center"/>
          </w:tcPr>
          <w:p w14:paraId="34E010BA" w14:textId="77777777" w:rsidR="00F81092" w:rsidRPr="00DB6C69" w:rsidRDefault="00F81092" w:rsidP="00F40717">
            <w:pPr>
              <w:jc w:val="center"/>
              <w:rPr>
                <w:rFonts w:cs="Arial"/>
                <w:sz w:val="16"/>
              </w:rPr>
            </w:pPr>
            <w:r w:rsidRPr="00DB6C69">
              <w:rPr>
                <w:rFonts w:cs="Arial"/>
                <w:sz w:val="16"/>
              </w:rPr>
              <w:t>MCG MAC</w:t>
            </w:r>
          </w:p>
        </w:tc>
        <w:tc>
          <w:tcPr>
            <w:tcW w:w="1071" w:type="dxa"/>
            <w:vAlign w:val="center"/>
          </w:tcPr>
          <w:p w14:paraId="12EE7FE6" w14:textId="77777777" w:rsidR="00F81092" w:rsidRPr="00DB6C69" w:rsidRDefault="00F81092" w:rsidP="00F40717">
            <w:pPr>
              <w:jc w:val="center"/>
              <w:rPr>
                <w:rFonts w:cs="Arial"/>
                <w:sz w:val="16"/>
              </w:rPr>
            </w:pPr>
            <w:r w:rsidRPr="00DB6C69">
              <w:rPr>
                <w:rFonts w:cs="Arial"/>
                <w:sz w:val="16"/>
              </w:rPr>
              <w:t>SCG MAC</w:t>
            </w:r>
          </w:p>
        </w:tc>
        <w:tc>
          <w:tcPr>
            <w:tcW w:w="1070" w:type="dxa"/>
            <w:vAlign w:val="center"/>
          </w:tcPr>
          <w:p w14:paraId="1ADF28E7" w14:textId="77777777" w:rsidR="00F81092" w:rsidRPr="00DB6C69" w:rsidRDefault="00F81092" w:rsidP="00F40717">
            <w:pPr>
              <w:jc w:val="center"/>
              <w:rPr>
                <w:rFonts w:cs="Arial"/>
              </w:rPr>
            </w:pPr>
            <w:r w:rsidRPr="00DB6C69">
              <w:rPr>
                <w:rFonts w:cs="Arial"/>
                <w:sz w:val="16"/>
              </w:rPr>
              <w:t>MCG MAC</w:t>
            </w:r>
          </w:p>
        </w:tc>
        <w:tc>
          <w:tcPr>
            <w:tcW w:w="1071" w:type="dxa"/>
            <w:vAlign w:val="center"/>
          </w:tcPr>
          <w:p w14:paraId="7E30E48E" w14:textId="77777777" w:rsidR="00F81092" w:rsidRPr="00DB6C69" w:rsidRDefault="00F81092" w:rsidP="00F40717">
            <w:pPr>
              <w:jc w:val="center"/>
              <w:rPr>
                <w:rFonts w:cs="Arial"/>
              </w:rPr>
            </w:pPr>
            <w:r w:rsidRPr="00DB6C69">
              <w:rPr>
                <w:rFonts w:cs="Arial"/>
                <w:sz w:val="16"/>
              </w:rPr>
              <w:t>SCG MAC</w:t>
            </w:r>
          </w:p>
        </w:tc>
        <w:tc>
          <w:tcPr>
            <w:tcW w:w="1070" w:type="dxa"/>
            <w:vAlign w:val="center"/>
          </w:tcPr>
          <w:p w14:paraId="34BD1618" w14:textId="77777777" w:rsidR="00F81092" w:rsidRPr="00DB6C69" w:rsidRDefault="00F81092" w:rsidP="00F40717">
            <w:pPr>
              <w:jc w:val="center"/>
              <w:rPr>
                <w:rFonts w:cs="Arial"/>
              </w:rPr>
            </w:pPr>
            <w:r w:rsidRPr="00DB6C69">
              <w:rPr>
                <w:rFonts w:cs="Arial"/>
                <w:sz w:val="16"/>
              </w:rPr>
              <w:t>MCG MAC</w:t>
            </w:r>
          </w:p>
        </w:tc>
        <w:tc>
          <w:tcPr>
            <w:tcW w:w="1071" w:type="dxa"/>
            <w:vAlign w:val="center"/>
          </w:tcPr>
          <w:p w14:paraId="55056FF5" w14:textId="77777777" w:rsidR="00F81092" w:rsidRPr="00DB6C69" w:rsidRDefault="00F81092" w:rsidP="00F40717">
            <w:pPr>
              <w:jc w:val="center"/>
              <w:rPr>
                <w:rFonts w:cs="Arial"/>
              </w:rPr>
            </w:pPr>
            <w:r w:rsidRPr="00DB6C69">
              <w:rPr>
                <w:rFonts w:cs="Arial"/>
                <w:sz w:val="16"/>
              </w:rPr>
              <w:t>SCG MAC</w:t>
            </w:r>
          </w:p>
        </w:tc>
      </w:tr>
      <w:tr w:rsidR="00F81092" w:rsidRPr="00DB6C69" w14:paraId="30173A7B" w14:textId="77777777" w:rsidTr="00690042">
        <w:trPr>
          <w:trHeight w:val="350"/>
          <w:jc w:val="center"/>
        </w:trPr>
        <w:tc>
          <w:tcPr>
            <w:tcW w:w="1217" w:type="dxa"/>
          </w:tcPr>
          <w:p w14:paraId="6EB13106" w14:textId="77777777" w:rsidR="00F81092" w:rsidRPr="00DB6C69" w:rsidRDefault="00F81092" w:rsidP="00F40717">
            <w:pPr>
              <w:rPr>
                <w:rFonts w:cs="Arial"/>
              </w:rPr>
            </w:pPr>
            <w:r w:rsidRPr="00DB6C69">
              <w:rPr>
                <w:rFonts w:cs="Arial"/>
              </w:rPr>
              <w:t>MCG</w:t>
            </w:r>
          </w:p>
        </w:tc>
        <w:tc>
          <w:tcPr>
            <w:tcW w:w="1070" w:type="dxa"/>
            <w:vAlign w:val="center"/>
          </w:tcPr>
          <w:p w14:paraId="1EB2A4C6" w14:textId="77777777" w:rsidR="00F81092" w:rsidRPr="00DB6C69" w:rsidRDefault="00F81092" w:rsidP="00F40717">
            <w:pPr>
              <w:jc w:val="center"/>
              <w:rPr>
                <w:rFonts w:cs="Arial"/>
              </w:rPr>
            </w:pPr>
            <w:r w:rsidRPr="00DB6C69">
              <w:rPr>
                <w:rFonts w:cs="Arial"/>
              </w:rPr>
              <w:t>Yes</w:t>
            </w:r>
          </w:p>
        </w:tc>
        <w:tc>
          <w:tcPr>
            <w:tcW w:w="1071" w:type="dxa"/>
            <w:vAlign w:val="center"/>
          </w:tcPr>
          <w:p w14:paraId="4668017E" w14:textId="77777777" w:rsidR="00F81092" w:rsidRPr="00DB6C69" w:rsidRDefault="00F81092" w:rsidP="00F40717">
            <w:pPr>
              <w:jc w:val="center"/>
              <w:rPr>
                <w:rFonts w:cs="Arial"/>
              </w:rPr>
            </w:pPr>
            <w:r w:rsidRPr="00DB6C69">
              <w:rPr>
                <w:rFonts w:cs="Arial"/>
              </w:rPr>
              <w:t>No</w:t>
            </w:r>
          </w:p>
        </w:tc>
        <w:tc>
          <w:tcPr>
            <w:tcW w:w="1070" w:type="dxa"/>
            <w:vAlign w:val="center"/>
          </w:tcPr>
          <w:p w14:paraId="572122C0" w14:textId="77777777" w:rsidR="00F81092" w:rsidRPr="00DB6C69" w:rsidRDefault="00F81092" w:rsidP="00F40717">
            <w:pPr>
              <w:jc w:val="center"/>
              <w:rPr>
                <w:rFonts w:cs="Arial"/>
              </w:rPr>
            </w:pPr>
            <w:r w:rsidRPr="00DB6C69">
              <w:rPr>
                <w:rFonts w:cs="Arial"/>
              </w:rPr>
              <w:t>No</w:t>
            </w:r>
          </w:p>
        </w:tc>
        <w:tc>
          <w:tcPr>
            <w:tcW w:w="1071" w:type="dxa"/>
            <w:vAlign w:val="center"/>
          </w:tcPr>
          <w:p w14:paraId="2D3F07FA" w14:textId="77777777" w:rsidR="00F81092" w:rsidRPr="00DB6C69" w:rsidRDefault="00F81092" w:rsidP="00F40717">
            <w:pPr>
              <w:jc w:val="center"/>
              <w:rPr>
                <w:rFonts w:cs="Arial"/>
              </w:rPr>
            </w:pPr>
            <w:r w:rsidRPr="00DB6C69">
              <w:rPr>
                <w:rFonts w:cs="Arial"/>
              </w:rPr>
              <w:t>No</w:t>
            </w:r>
          </w:p>
        </w:tc>
        <w:tc>
          <w:tcPr>
            <w:tcW w:w="1070" w:type="dxa"/>
            <w:vAlign w:val="center"/>
          </w:tcPr>
          <w:p w14:paraId="6621CEB2" w14:textId="77777777" w:rsidR="00F81092" w:rsidRPr="00DB6C69" w:rsidRDefault="00F81092" w:rsidP="00F40717">
            <w:pPr>
              <w:jc w:val="center"/>
              <w:rPr>
                <w:rFonts w:cs="Arial"/>
              </w:rPr>
            </w:pPr>
            <w:r w:rsidRPr="00DB6C69">
              <w:rPr>
                <w:rFonts w:cs="Arial"/>
              </w:rPr>
              <w:t>Yes</w:t>
            </w:r>
          </w:p>
        </w:tc>
        <w:tc>
          <w:tcPr>
            <w:tcW w:w="1071" w:type="dxa"/>
            <w:vAlign w:val="center"/>
          </w:tcPr>
          <w:p w14:paraId="3A036A71" w14:textId="77777777" w:rsidR="00F81092" w:rsidRPr="00DB6C69" w:rsidRDefault="00F81092" w:rsidP="00F40717">
            <w:pPr>
              <w:jc w:val="center"/>
              <w:rPr>
                <w:rFonts w:cs="Arial"/>
              </w:rPr>
            </w:pPr>
            <w:r w:rsidRPr="00DB6C69">
              <w:rPr>
                <w:rFonts w:cs="Arial"/>
              </w:rPr>
              <w:t>No</w:t>
            </w:r>
          </w:p>
        </w:tc>
      </w:tr>
      <w:tr w:rsidR="00F81092" w:rsidRPr="00DB6C69" w14:paraId="498351A4" w14:textId="77777777" w:rsidTr="00690042">
        <w:trPr>
          <w:trHeight w:val="350"/>
          <w:jc w:val="center"/>
        </w:trPr>
        <w:tc>
          <w:tcPr>
            <w:tcW w:w="1217" w:type="dxa"/>
          </w:tcPr>
          <w:p w14:paraId="31B601F9" w14:textId="77777777" w:rsidR="00F81092" w:rsidRPr="00DB6C69" w:rsidRDefault="00F81092" w:rsidP="00F40717">
            <w:pPr>
              <w:rPr>
                <w:rFonts w:cs="Arial"/>
              </w:rPr>
            </w:pPr>
            <w:r w:rsidRPr="00DB6C69">
              <w:rPr>
                <w:rFonts w:cs="Arial"/>
              </w:rPr>
              <w:t>SCG</w:t>
            </w:r>
          </w:p>
        </w:tc>
        <w:tc>
          <w:tcPr>
            <w:tcW w:w="1070" w:type="dxa"/>
            <w:vAlign w:val="center"/>
          </w:tcPr>
          <w:p w14:paraId="2E767FBB" w14:textId="77777777" w:rsidR="00F81092" w:rsidRPr="00DB6C69" w:rsidRDefault="00F81092" w:rsidP="00F40717">
            <w:pPr>
              <w:jc w:val="center"/>
              <w:rPr>
                <w:rFonts w:cs="Arial"/>
              </w:rPr>
            </w:pPr>
            <w:r w:rsidRPr="00DB6C69">
              <w:rPr>
                <w:rFonts w:cs="Arial"/>
              </w:rPr>
              <w:t>No</w:t>
            </w:r>
          </w:p>
        </w:tc>
        <w:tc>
          <w:tcPr>
            <w:tcW w:w="1071" w:type="dxa"/>
            <w:vAlign w:val="center"/>
          </w:tcPr>
          <w:p w14:paraId="130EED59" w14:textId="77777777" w:rsidR="00F81092" w:rsidRPr="00DB6C69" w:rsidRDefault="00F81092" w:rsidP="00F40717">
            <w:pPr>
              <w:jc w:val="center"/>
              <w:rPr>
                <w:rFonts w:cs="Arial"/>
              </w:rPr>
            </w:pPr>
            <w:r w:rsidRPr="00DB6C69">
              <w:rPr>
                <w:rFonts w:cs="Arial"/>
              </w:rPr>
              <w:t>No</w:t>
            </w:r>
          </w:p>
        </w:tc>
        <w:tc>
          <w:tcPr>
            <w:tcW w:w="1070" w:type="dxa"/>
            <w:vAlign w:val="center"/>
          </w:tcPr>
          <w:p w14:paraId="51935F7A" w14:textId="7CAE18FD" w:rsidR="00F81092" w:rsidRPr="00DB6C69" w:rsidRDefault="00F81092" w:rsidP="00F40717">
            <w:pPr>
              <w:jc w:val="center"/>
              <w:rPr>
                <w:rFonts w:cs="Arial"/>
              </w:rPr>
            </w:pPr>
            <w:r w:rsidRPr="00DB6C69">
              <w:rPr>
                <w:rFonts w:cs="Arial"/>
              </w:rPr>
              <w:t>No</w:t>
            </w:r>
          </w:p>
        </w:tc>
        <w:tc>
          <w:tcPr>
            <w:tcW w:w="1071" w:type="dxa"/>
            <w:vAlign w:val="center"/>
          </w:tcPr>
          <w:p w14:paraId="1DC2A0D1" w14:textId="77777777" w:rsidR="00F81092" w:rsidRPr="00DB6C69" w:rsidRDefault="00F81092" w:rsidP="00F40717">
            <w:pPr>
              <w:jc w:val="center"/>
              <w:rPr>
                <w:rFonts w:cs="Arial"/>
              </w:rPr>
            </w:pPr>
            <w:r w:rsidRPr="00DB6C69">
              <w:rPr>
                <w:rFonts w:cs="Arial"/>
              </w:rPr>
              <w:t>Yes</w:t>
            </w:r>
          </w:p>
        </w:tc>
        <w:tc>
          <w:tcPr>
            <w:tcW w:w="1070" w:type="dxa"/>
            <w:vAlign w:val="center"/>
          </w:tcPr>
          <w:p w14:paraId="4EA02F11" w14:textId="77777777" w:rsidR="00F81092" w:rsidRPr="00DB6C69" w:rsidRDefault="00F81092" w:rsidP="00F40717">
            <w:pPr>
              <w:jc w:val="center"/>
              <w:rPr>
                <w:rFonts w:cs="Arial"/>
              </w:rPr>
            </w:pPr>
            <w:r w:rsidRPr="00DB6C69">
              <w:rPr>
                <w:rFonts w:cs="Arial"/>
              </w:rPr>
              <w:t>No</w:t>
            </w:r>
          </w:p>
        </w:tc>
        <w:tc>
          <w:tcPr>
            <w:tcW w:w="1071" w:type="dxa"/>
            <w:vAlign w:val="center"/>
          </w:tcPr>
          <w:p w14:paraId="723A8167" w14:textId="77777777" w:rsidR="00F81092" w:rsidRPr="00DB6C69" w:rsidRDefault="00F81092" w:rsidP="00F40717">
            <w:pPr>
              <w:jc w:val="center"/>
              <w:rPr>
                <w:rFonts w:cs="Arial"/>
              </w:rPr>
            </w:pPr>
            <w:r w:rsidRPr="00DB6C69">
              <w:rPr>
                <w:rFonts w:cs="Arial"/>
              </w:rPr>
              <w:t>Yes</w:t>
            </w:r>
          </w:p>
        </w:tc>
      </w:tr>
      <w:tr w:rsidR="00F81092" w:rsidRPr="00DB6C69" w14:paraId="56C8896A" w14:textId="77777777" w:rsidTr="00690042">
        <w:trPr>
          <w:trHeight w:val="350"/>
          <w:jc w:val="center"/>
        </w:trPr>
        <w:tc>
          <w:tcPr>
            <w:tcW w:w="1217" w:type="dxa"/>
          </w:tcPr>
          <w:p w14:paraId="4DDFD8EB" w14:textId="493ABCD5" w:rsidR="00F81092" w:rsidRPr="00DB6C69" w:rsidRDefault="00F81092" w:rsidP="00F40717">
            <w:pPr>
              <w:rPr>
                <w:rFonts w:cs="Arial"/>
              </w:rPr>
            </w:pPr>
            <w:r w:rsidRPr="00DB6C69">
              <w:rPr>
                <w:rFonts w:cs="Arial"/>
              </w:rPr>
              <w:t>Split</w:t>
            </w:r>
          </w:p>
        </w:tc>
        <w:tc>
          <w:tcPr>
            <w:tcW w:w="1070" w:type="dxa"/>
            <w:vAlign w:val="center"/>
          </w:tcPr>
          <w:p w14:paraId="1F918F22" w14:textId="77777777" w:rsidR="00F81092" w:rsidRPr="00DB6C69" w:rsidRDefault="00F81092" w:rsidP="00F40717">
            <w:pPr>
              <w:jc w:val="center"/>
              <w:rPr>
                <w:rFonts w:cs="Arial"/>
              </w:rPr>
            </w:pPr>
            <w:r w:rsidRPr="00DB6C69">
              <w:rPr>
                <w:rFonts w:cs="Arial"/>
              </w:rPr>
              <w:t>Yes</w:t>
            </w:r>
          </w:p>
        </w:tc>
        <w:tc>
          <w:tcPr>
            <w:tcW w:w="1071" w:type="dxa"/>
            <w:vAlign w:val="center"/>
          </w:tcPr>
          <w:p w14:paraId="2E2CC413" w14:textId="77777777" w:rsidR="00F81092" w:rsidRPr="00DB6C69" w:rsidRDefault="00F81092" w:rsidP="00F40717">
            <w:pPr>
              <w:jc w:val="center"/>
              <w:rPr>
                <w:rFonts w:cs="Arial"/>
              </w:rPr>
            </w:pPr>
            <w:r w:rsidRPr="00DB6C69">
              <w:rPr>
                <w:rFonts w:cs="Arial"/>
              </w:rPr>
              <w:t>No</w:t>
            </w:r>
          </w:p>
        </w:tc>
        <w:tc>
          <w:tcPr>
            <w:tcW w:w="1070" w:type="dxa"/>
            <w:vAlign w:val="center"/>
          </w:tcPr>
          <w:p w14:paraId="51BC83EF" w14:textId="77777777" w:rsidR="00F81092" w:rsidRPr="00DB6C69" w:rsidRDefault="00F81092" w:rsidP="00F40717">
            <w:pPr>
              <w:jc w:val="center"/>
              <w:rPr>
                <w:rFonts w:cs="Arial"/>
              </w:rPr>
            </w:pPr>
            <w:r w:rsidRPr="00DB6C69">
              <w:rPr>
                <w:rFonts w:cs="Arial"/>
              </w:rPr>
              <w:t>No</w:t>
            </w:r>
          </w:p>
        </w:tc>
        <w:tc>
          <w:tcPr>
            <w:tcW w:w="1071" w:type="dxa"/>
            <w:vAlign w:val="center"/>
          </w:tcPr>
          <w:p w14:paraId="481E499B" w14:textId="77777777" w:rsidR="00F81092" w:rsidRPr="00DB6C69" w:rsidRDefault="00F81092" w:rsidP="00F40717">
            <w:pPr>
              <w:jc w:val="center"/>
              <w:rPr>
                <w:rFonts w:cs="Arial"/>
              </w:rPr>
            </w:pPr>
            <w:r w:rsidRPr="00DB6C69">
              <w:rPr>
                <w:rFonts w:cs="Arial"/>
              </w:rPr>
              <w:t>Yes</w:t>
            </w:r>
          </w:p>
        </w:tc>
        <w:tc>
          <w:tcPr>
            <w:tcW w:w="1070" w:type="dxa"/>
            <w:vAlign w:val="center"/>
          </w:tcPr>
          <w:p w14:paraId="4CFA9AB8" w14:textId="77777777" w:rsidR="00F81092" w:rsidRPr="00DB6C69" w:rsidRDefault="00F81092" w:rsidP="00F40717">
            <w:pPr>
              <w:jc w:val="center"/>
              <w:rPr>
                <w:rFonts w:cs="Arial"/>
              </w:rPr>
            </w:pPr>
            <w:r w:rsidRPr="00DB6C69">
              <w:rPr>
                <w:rFonts w:cs="Arial"/>
              </w:rPr>
              <w:t>Yes</w:t>
            </w:r>
          </w:p>
        </w:tc>
        <w:tc>
          <w:tcPr>
            <w:tcW w:w="1071" w:type="dxa"/>
            <w:vAlign w:val="center"/>
          </w:tcPr>
          <w:p w14:paraId="450E75C3" w14:textId="77777777" w:rsidR="00F81092" w:rsidRPr="00DB6C69" w:rsidRDefault="00F81092" w:rsidP="00F40717">
            <w:pPr>
              <w:jc w:val="center"/>
              <w:rPr>
                <w:rFonts w:cs="Arial"/>
              </w:rPr>
            </w:pPr>
            <w:r w:rsidRPr="00DB6C69">
              <w:rPr>
                <w:rFonts w:cs="Arial"/>
              </w:rPr>
              <w:t>Yes</w:t>
            </w:r>
          </w:p>
        </w:tc>
      </w:tr>
    </w:tbl>
    <w:p w14:paraId="013D6CA8" w14:textId="7318FDB6" w:rsidR="00C75C18" w:rsidRPr="00DB6C69" w:rsidRDefault="00C75C18" w:rsidP="00A570CD">
      <w:pPr>
        <w:rPr>
          <w:rFonts w:cs="Arial"/>
        </w:rPr>
      </w:pPr>
    </w:p>
    <w:p w14:paraId="3CE5AE50" w14:textId="707B3B12" w:rsidR="00EA5456" w:rsidRPr="00DB6C69" w:rsidRDefault="00041493" w:rsidP="00A570CD">
      <w:pPr>
        <w:rPr>
          <w:rFonts w:cs="Arial"/>
        </w:rPr>
      </w:pPr>
      <w:r w:rsidRPr="00DB6C69">
        <w:rPr>
          <w:rFonts w:cs="Arial"/>
        </w:rPr>
        <w:t xml:space="preserve">As seen in the table in most of the bearer type change cases (10 out of 18), there is no security key confusion, and thus no need for </w:t>
      </w:r>
      <w:r w:rsidR="00C05B81">
        <w:rPr>
          <w:rFonts w:cs="Arial"/>
        </w:rPr>
        <w:t xml:space="preserve">e.g. </w:t>
      </w:r>
      <w:r w:rsidRPr="00DB6C69">
        <w:rPr>
          <w:rFonts w:cs="Arial"/>
        </w:rPr>
        <w:t xml:space="preserve">MAC reset. </w:t>
      </w:r>
    </w:p>
    <w:p w14:paraId="3803D350" w14:textId="49D4F712" w:rsidR="00EA5456" w:rsidRPr="00DB6C69" w:rsidRDefault="00B35975" w:rsidP="00A570CD">
      <w:pPr>
        <w:rPr>
          <w:rFonts w:cs="Arial"/>
        </w:rPr>
      </w:pPr>
      <w:r w:rsidRPr="00DB6C69">
        <w:rPr>
          <w:rFonts w:cs="Arial"/>
        </w:rPr>
        <w:t xml:space="preserve">However, </w:t>
      </w:r>
      <w:r w:rsidR="00B45DBC" w:rsidRPr="00DB6C69">
        <w:rPr>
          <w:rFonts w:cs="Arial"/>
        </w:rPr>
        <w:t>as noted also in the</w:t>
      </w:r>
      <w:r w:rsidR="005D5A42" w:rsidRPr="00DB6C69">
        <w:rPr>
          <w:rFonts w:cs="Arial"/>
        </w:rPr>
        <w:t xml:space="preserve"> </w:t>
      </w:r>
      <w:r w:rsidR="00B45DBC" w:rsidRPr="00DB6C69">
        <w:rPr>
          <w:rFonts w:cs="Arial"/>
        </w:rPr>
        <w:t>email discussion</w:t>
      </w:r>
      <w:r w:rsidR="005D5A42" w:rsidRPr="00DB6C69">
        <w:rPr>
          <w:rFonts w:cs="Arial"/>
        </w:rPr>
        <w:t xml:space="preserve"> [</w:t>
      </w:r>
      <w:r w:rsidR="00522AAF" w:rsidRPr="00DB6C69">
        <w:rPr>
          <w:rFonts w:cs="Arial"/>
        </w:rPr>
        <w:t>NR-</w:t>
      </w:r>
      <w:r w:rsidR="005D5A42" w:rsidRPr="00DB6C69">
        <w:rPr>
          <w:rFonts w:cs="Arial"/>
        </w:rPr>
        <w:t>AH2#16]</w:t>
      </w:r>
      <w:r w:rsidR="00B45DBC" w:rsidRPr="00DB6C69">
        <w:rPr>
          <w:rFonts w:cs="Arial"/>
        </w:rPr>
        <w:t xml:space="preserve">, </w:t>
      </w:r>
      <w:r w:rsidR="00EA5456" w:rsidRPr="00DB6C69">
        <w:rPr>
          <w:rFonts w:cs="Arial"/>
        </w:rPr>
        <w:t xml:space="preserve">when considering the e2e impact of MAC reset, what </w:t>
      </w:r>
      <w:r w:rsidR="00AA405B" w:rsidRPr="00DB6C69">
        <w:rPr>
          <w:rFonts w:cs="Arial"/>
        </w:rPr>
        <w:t xml:space="preserve">also </w:t>
      </w:r>
      <w:r w:rsidR="00EA5456" w:rsidRPr="00DB6C69">
        <w:rPr>
          <w:rFonts w:cs="Arial"/>
        </w:rPr>
        <w:t xml:space="preserve">matters is </w:t>
      </w:r>
      <w:r w:rsidR="00B45DBC" w:rsidRPr="00DB6C69">
        <w:rPr>
          <w:rFonts w:cs="Arial"/>
        </w:rPr>
        <w:t xml:space="preserve">the frequency by which </w:t>
      </w:r>
      <w:r w:rsidR="00EA5456" w:rsidRPr="00DB6C69">
        <w:rPr>
          <w:rFonts w:cs="Arial"/>
        </w:rPr>
        <w:t>it</w:t>
      </w:r>
      <w:r w:rsidR="00B45DBC" w:rsidRPr="00DB6C69">
        <w:rPr>
          <w:rFonts w:cs="Arial"/>
        </w:rPr>
        <w:t xml:space="preserve"> occurs. For infrequent re</w:t>
      </w:r>
      <w:r w:rsidR="00EA5456" w:rsidRPr="00DB6C69">
        <w:rPr>
          <w:rFonts w:cs="Arial"/>
        </w:rPr>
        <w:t>configurations, a solution with</w:t>
      </w:r>
      <w:r w:rsidR="00B45DBC" w:rsidRPr="00DB6C69">
        <w:rPr>
          <w:rFonts w:cs="Arial"/>
        </w:rPr>
        <w:t xml:space="preserve"> MAC impact of o</w:t>
      </w:r>
      <w:r w:rsidR="00626EAF" w:rsidRPr="00DB6C69">
        <w:rPr>
          <w:rFonts w:cs="Arial"/>
        </w:rPr>
        <w:t xml:space="preserve">ther bearers </w:t>
      </w:r>
      <w:r w:rsidR="00522AAF" w:rsidRPr="00DB6C69">
        <w:rPr>
          <w:rFonts w:cs="Arial"/>
        </w:rPr>
        <w:t>may be</w:t>
      </w:r>
      <w:r w:rsidR="00626EAF" w:rsidRPr="00DB6C69">
        <w:rPr>
          <w:rFonts w:cs="Arial"/>
        </w:rPr>
        <w:t xml:space="preserve"> acceptable</w:t>
      </w:r>
      <w:r w:rsidR="00522AAF" w:rsidRPr="00DB6C69">
        <w:rPr>
          <w:rFonts w:cs="Arial"/>
        </w:rPr>
        <w:t>, if it simplifies the signalling</w:t>
      </w:r>
      <w:r w:rsidR="00626EAF" w:rsidRPr="00DB6C69">
        <w:rPr>
          <w:rFonts w:cs="Arial"/>
        </w:rPr>
        <w:t>.</w:t>
      </w:r>
      <w:r w:rsidR="00675A09" w:rsidRPr="00DB6C69">
        <w:rPr>
          <w:rFonts w:cs="Arial"/>
        </w:rPr>
        <w:t xml:space="preserve"> </w:t>
      </w:r>
    </w:p>
    <w:p w14:paraId="126E85C1" w14:textId="78AFFECE" w:rsidR="008B7A42" w:rsidRPr="00DB6C69" w:rsidRDefault="00EA5456" w:rsidP="00A570CD">
      <w:pPr>
        <w:rPr>
          <w:rFonts w:cs="Arial"/>
        </w:rPr>
      </w:pPr>
      <w:r w:rsidRPr="00DB6C69">
        <w:rPr>
          <w:rFonts w:cs="Arial"/>
        </w:rPr>
        <w:t xml:space="preserve">Considering that security key change is </w:t>
      </w:r>
      <w:r w:rsidR="008B7A42" w:rsidRPr="00DB6C69">
        <w:rPr>
          <w:rFonts w:cs="Arial"/>
        </w:rPr>
        <w:t>only</w:t>
      </w:r>
      <w:r w:rsidRPr="00DB6C69">
        <w:rPr>
          <w:rFonts w:cs="Arial"/>
        </w:rPr>
        <w:t xml:space="preserve"> needed for bearer type changes if PDCP termination point </w:t>
      </w:r>
      <w:r w:rsidR="008B7A42" w:rsidRPr="00DB6C69">
        <w:rPr>
          <w:rFonts w:cs="Arial"/>
        </w:rPr>
        <w:t xml:space="preserve">is </w:t>
      </w:r>
      <w:r w:rsidRPr="00DB6C69">
        <w:rPr>
          <w:rFonts w:cs="Arial"/>
        </w:rPr>
        <w:t>change</w:t>
      </w:r>
      <w:r w:rsidR="008B7A42" w:rsidRPr="00DB6C69">
        <w:rPr>
          <w:rFonts w:cs="Arial"/>
        </w:rPr>
        <w:t>d</w:t>
      </w:r>
      <w:r w:rsidRPr="00DB6C69">
        <w:rPr>
          <w:rFonts w:cs="Arial"/>
        </w:rPr>
        <w:t xml:space="preserve"> (see observations 1 and 2), and that security key change is anyway performed during state transitions to ensure sufficiently frequent key refresh during normal </w:t>
      </w:r>
      <w:r w:rsidR="00AA405B" w:rsidRPr="00DB6C69">
        <w:rPr>
          <w:rFonts w:cs="Arial"/>
        </w:rPr>
        <w:t xml:space="preserve">traffic </w:t>
      </w:r>
      <w:r w:rsidRPr="00DB6C69">
        <w:rPr>
          <w:rFonts w:cs="Arial"/>
        </w:rPr>
        <w:t>conditions, our understanding is that</w:t>
      </w:r>
      <w:r w:rsidR="00786739" w:rsidRPr="00DB6C69">
        <w:rPr>
          <w:rFonts w:cs="Arial"/>
        </w:rPr>
        <w:t xml:space="preserve"> bearer type change including security key change in CONNECTED state </w:t>
      </w:r>
      <w:r w:rsidR="00522AAF" w:rsidRPr="00DB6C69">
        <w:rPr>
          <w:rFonts w:cs="Arial"/>
        </w:rPr>
        <w:t>may</w:t>
      </w:r>
      <w:r w:rsidR="00786739" w:rsidRPr="00DB6C69">
        <w:rPr>
          <w:rFonts w:cs="Arial"/>
        </w:rPr>
        <w:t xml:space="preserve"> be an infrequent event, and that</w:t>
      </w:r>
      <w:r w:rsidRPr="00DB6C69">
        <w:rPr>
          <w:rFonts w:cs="Arial"/>
        </w:rPr>
        <w:t xml:space="preserve"> current MAC mechanisms</w:t>
      </w:r>
      <w:r w:rsidR="00A121F4" w:rsidRPr="00DB6C69">
        <w:rPr>
          <w:rFonts w:cs="Arial"/>
        </w:rPr>
        <w:t xml:space="preserve"> (reset</w:t>
      </w:r>
      <w:r w:rsidR="00AA405B" w:rsidRPr="00DB6C69">
        <w:rPr>
          <w:rFonts w:cs="Arial"/>
        </w:rPr>
        <w:t>,</w:t>
      </w:r>
      <w:r w:rsidR="00A121F4" w:rsidRPr="00DB6C69">
        <w:rPr>
          <w:rFonts w:cs="Arial"/>
        </w:rPr>
        <w:t xml:space="preserve"> partial reset)</w:t>
      </w:r>
      <w:r w:rsidRPr="00DB6C69">
        <w:rPr>
          <w:rFonts w:cs="Arial"/>
        </w:rPr>
        <w:t xml:space="preserve"> </w:t>
      </w:r>
      <w:r w:rsidR="008B7A42" w:rsidRPr="00DB6C69">
        <w:rPr>
          <w:rFonts w:cs="Arial"/>
        </w:rPr>
        <w:t>to avoid security key ambiguity during bearer type change are sufficient.</w:t>
      </w:r>
    </w:p>
    <w:p w14:paraId="07DE1A6F" w14:textId="1A5B82BB" w:rsidR="008B7A42" w:rsidRPr="00DB6C69" w:rsidRDefault="00A121F4" w:rsidP="008B7A42">
      <w:pPr>
        <w:pStyle w:val="Proposal"/>
        <w:rPr>
          <w:rFonts w:cs="Arial"/>
        </w:rPr>
      </w:pPr>
      <w:bookmarkStart w:id="57" w:name="_Toc489968102"/>
      <w:bookmarkStart w:id="58" w:name="_Toc490048439"/>
      <w:bookmarkStart w:id="59" w:name="_Toc490049251"/>
      <w:bookmarkStart w:id="60" w:name="_Toc490049445"/>
      <w:bookmarkStart w:id="61" w:name="_Toc490057437"/>
      <w:bookmarkStart w:id="62" w:name="_Ref490152912"/>
      <w:bookmarkStart w:id="63" w:name="_Toc490168293"/>
      <w:bookmarkStart w:id="64" w:name="_Toc490213035"/>
      <w:bookmarkStart w:id="65" w:name="_Toc490248144"/>
      <w:bookmarkStart w:id="66" w:name="_Toc490262688"/>
      <w:bookmarkStart w:id="67" w:name="_Toc490264343"/>
      <w:r w:rsidRPr="00DB6C69">
        <w:rPr>
          <w:rFonts w:cs="Arial"/>
        </w:rPr>
        <w:lastRenderedPageBreak/>
        <w:t>Current LTE mechanisms (MAC reset, partial MAC reset) can be reused to avoid security key ambiguity during bearer type change in CONNECTED state</w:t>
      </w:r>
      <w:r w:rsidR="00B22266">
        <w:rPr>
          <w:rFonts w:cs="Arial"/>
        </w:rPr>
        <w:t>, i.e. there is no need to optimize this rare case</w:t>
      </w:r>
      <w:r w:rsidR="008B7A42" w:rsidRPr="00DB6C69">
        <w:rPr>
          <w:rFonts w:cs="Arial"/>
        </w:rPr>
        <w:t>.</w:t>
      </w:r>
      <w:bookmarkEnd w:id="57"/>
      <w:bookmarkEnd w:id="58"/>
      <w:bookmarkEnd w:id="59"/>
      <w:bookmarkEnd w:id="60"/>
      <w:bookmarkEnd w:id="61"/>
      <w:bookmarkEnd w:id="62"/>
      <w:bookmarkEnd w:id="63"/>
      <w:bookmarkEnd w:id="64"/>
      <w:bookmarkEnd w:id="65"/>
      <w:bookmarkEnd w:id="66"/>
      <w:bookmarkEnd w:id="67"/>
    </w:p>
    <w:p w14:paraId="37073D30" w14:textId="77777777" w:rsidR="00C01F33" w:rsidRPr="00DB6C69" w:rsidRDefault="00C01F33" w:rsidP="00CE0424">
      <w:pPr>
        <w:pStyle w:val="Heading1"/>
      </w:pPr>
      <w:r w:rsidRPr="00DB6C69">
        <w:t>Conclusion</w:t>
      </w:r>
    </w:p>
    <w:p w14:paraId="19D6CA61" w14:textId="637700A5" w:rsidR="004A483C" w:rsidRPr="00DB6C69" w:rsidRDefault="008E065E" w:rsidP="004A483C">
      <w:pPr>
        <w:pStyle w:val="BodyText"/>
        <w:rPr>
          <w:rFonts w:cs="Arial"/>
          <w:b/>
          <w:bCs/>
        </w:rPr>
      </w:pPr>
      <w:r w:rsidRPr="00DB6C69">
        <w:rPr>
          <w:rFonts w:cs="Arial"/>
        </w:rPr>
        <w:t xml:space="preserve">Based on the discussion in section </w:t>
      </w:r>
      <w:r w:rsidRPr="00DB6C69">
        <w:rPr>
          <w:rFonts w:cs="Arial"/>
          <w:highlight w:val="cyan"/>
        </w:rPr>
        <w:fldChar w:fldCharType="begin"/>
      </w:r>
      <w:r w:rsidRPr="00690042">
        <w:instrText xml:space="preserve"> REF _Ref178064866 \r \h </w:instrText>
      </w:r>
      <w:r w:rsidR="00DB6C69" w:rsidRPr="00DB6C69">
        <w:rPr>
          <w:rFonts w:cs="Arial"/>
          <w:highlight w:val="cyan"/>
        </w:rPr>
        <w:instrText xml:space="preserve"> \* MERGEFORMAT </w:instrText>
      </w:r>
      <w:r w:rsidRPr="00DB6C69">
        <w:rPr>
          <w:rFonts w:cs="Arial"/>
          <w:highlight w:val="cyan"/>
        </w:rPr>
      </w:r>
      <w:r w:rsidRPr="00DB6C69">
        <w:rPr>
          <w:rFonts w:cs="Arial"/>
          <w:highlight w:val="cyan"/>
        </w:rPr>
        <w:fldChar w:fldCharType="separate"/>
      </w:r>
      <w:r w:rsidR="00AF4F13" w:rsidRPr="00451A6C">
        <w:rPr>
          <w:rFonts w:cs="Arial"/>
        </w:rPr>
        <w:t>2</w:t>
      </w:r>
      <w:r w:rsidRPr="00DB6C69">
        <w:rPr>
          <w:rFonts w:cs="Arial"/>
          <w:highlight w:val="cyan"/>
        </w:rPr>
        <w:fldChar w:fldCharType="end"/>
      </w:r>
      <w:r w:rsidRPr="00DB6C69">
        <w:rPr>
          <w:rFonts w:cs="Arial"/>
        </w:rPr>
        <w:t xml:space="preserve"> we propose the following:</w:t>
      </w:r>
    </w:p>
    <w:p w14:paraId="4180B50F" w14:textId="77777777" w:rsidR="00F03C85" w:rsidRPr="00F03C85" w:rsidRDefault="00FA62C3">
      <w:pPr>
        <w:pStyle w:val="TOC1"/>
        <w:rPr>
          <w:rFonts w:asciiTheme="minorHAnsi" w:eastAsiaTheme="minorEastAsia" w:hAnsiTheme="minorHAnsi" w:cstheme="minorBidi"/>
          <w:b w:val="0"/>
          <w:sz w:val="22"/>
          <w:lang w:val="en-GB" w:eastAsia="fi-FI"/>
        </w:rPr>
      </w:pPr>
      <w:r w:rsidRPr="00DB6C69">
        <w:rPr>
          <w:rFonts w:cs="Arial"/>
          <w:b w:val="0"/>
          <w:bCs/>
          <w:szCs w:val="20"/>
        </w:rPr>
        <w:fldChar w:fldCharType="begin"/>
      </w:r>
      <w:r w:rsidRPr="00DB6C69">
        <w:rPr>
          <w:rFonts w:cs="Arial"/>
          <w:bCs/>
          <w:szCs w:val="20"/>
        </w:rPr>
        <w:instrText xml:space="preserve"> TOC \f \n \p " " \t "Proposal;1" </w:instrText>
      </w:r>
      <w:r w:rsidRPr="00DB6C69">
        <w:rPr>
          <w:rFonts w:cs="Arial"/>
          <w:b w:val="0"/>
          <w:bCs/>
          <w:szCs w:val="20"/>
        </w:rPr>
        <w:fldChar w:fldCharType="separate"/>
      </w:r>
      <w:bookmarkStart w:id="68" w:name="_GoBack"/>
      <w:bookmarkEnd w:id="68"/>
      <w:r w:rsidR="00F03C85" w:rsidRPr="009747CA">
        <w:rPr>
          <w:rFonts w:cs="Arial"/>
        </w:rPr>
        <w:t>Proposal 1</w:t>
      </w:r>
      <w:r w:rsidR="00F03C85" w:rsidRPr="00F03C85">
        <w:rPr>
          <w:rFonts w:asciiTheme="minorHAnsi" w:eastAsiaTheme="minorEastAsia" w:hAnsiTheme="minorHAnsi" w:cstheme="minorBidi"/>
          <w:b w:val="0"/>
          <w:sz w:val="22"/>
          <w:lang w:val="en-GB" w:eastAsia="fi-FI"/>
        </w:rPr>
        <w:tab/>
      </w:r>
      <w:r w:rsidR="00F03C85" w:rsidRPr="009747CA">
        <w:rPr>
          <w:rFonts w:cs="Arial"/>
        </w:rPr>
        <w:t>Bearer type change across cell groups, i.e. MCG or split bearer to/from SCG bearer, without security key change is supported for the case where PDCP termination point is not changed.</w:t>
      </w:r>
    </w:p>
    <w:p w14:paraId="01AED712" w14:textId="77777777" w:rsidR="00F03C85" w:rsidRPr="00F03C85" w:rsidRDefault="00F03C85">
      <w:pPr>
        <w:pStyle w:val="TOC1"/>
        <w:rPr>
          <w:rFonts w:asciiTheme="minorHAnsi" w:eastAsiaTheme="minorEastAsia" w:hAnsiTheme="minorHAnsi" w:cstheme="minorBidi"/>
          <w:b w:val="0"/>
          <w:sz w:val="22"/>
          <w:lang w:val="en-GB" w:eastAsia="fi-FI"/>
        </w:rPr>
      </w:pPr>
      <w:r w:rsidRPr="009747CA">
        <w:rPr>
          <w:rFonts w:cs="Arial"/>
        </w:rPr>
        <w:t>Proposal 2</w:t>
      </w:r>
      <w:r w:rsidRPr="00F03C85">
        <w:rPr>
          <w:rFonts w:asciiTheme="minorHAnsi" w:eastAsiaTheme="minorEastAsia" w:hAnsiTheme="minorHAnsi" w:cstheme="minorBidi"/>
          <w:b w:val="0"/>
          <w:sz w:val="22"/>
          <w:lang w:val="en-GB" w:eastAsia="fi-FI"/>
        </w:rPr>
        <w:tab/>
      </w:r>
      <w:r w:rsidRPr="009747CA">
        <w:rPr>
          <w:rFonts w:cs="Arial"/>
        </w:rPr>
        <w:t>Bearer type change without security key change, with potential data loss on MAC and RLC can be handled by PDCP retransmissions, e.g. with the PDCP data recovery procedure.</w:t>
      </w:r>
    </w:p>
    <w:p w14:paraId="2B7D801E" w14:textId="77777777" w:rsidR="00F03C85" w:rsidRPr="00F03C85" w:rsidRDefault="00F03C85">
      <w:pPr>
        <w:pStyle w:val="TOC1"/>
        <w:rPr>
          <w:rFonts w:asciiTheme="minorHAnsi" w:eastAsiaTheme="minorEastAsia" w:hAnsiTheme="minorHAnsi" w:cstheme="minorBidi"/>
          <w:b w:val="0"/>
          <w:sz w:val="22"/>
          <w:lang w:val="en-GB" w:eastAsia="fi-FI"/>
        </w:rPr>
      </w:pPr>
      <w:r w:rsidRPr="009747CA">
        <w:rPr>
          <w:rFonts w:cs="Arial"/>
        </w:rPr>
        <w:t>Proposal 3</w:t>
      </w:r>
      <w:r w:rsidRPr="00F03C85">
        <w:rPr>
          <w:rFonts w:asciiTheme="minorHAnsi" w:eastAsiaTheme="minorEastAsia" w:hAnsiTheme="minorHAnsi" w:cstheme="minorBidi"/>
          <w:b w:val="0"/>
          <w:sz w:val="22"/>
          <w:lang w:val="en-GB" w:eastAsia="fi-FI"/>
        </w:rPr>
        <w:tab/>
      </w:r>
      <w:r w:rsidRPr="009747CA">
        <w:rPr>
          <w:rFonts w:cs="Arial"/>
        </w:rPr>
        <w:t>It should be possible to establish a LTE DRB with NR PDCP for EN-DC capable UE.</w:t>
      </w:r>
    </w:p>
    <w:p w14:paraId="08A8C9AF" w14:textId="77777777" w:rsidR="00F03C85" w:rsidRPr="00F03C85" w:rsidRDefault="00F03C85">
      <w:pPr>
        <w:pStyle w:val="TOC1"/>
        <w:rPr>
          <w:rFonts w:asciiTheme="minorHAnsi" w:eastAsiaTheme="minorEastAsia" w:hAnsiTheme="minorHAnsi" w:cstheme="minorBidi"/>
          <w:b w:val="0"/>
          <w:sz w:val="22"/>
          <w:lang w:val="en-GB" w:eastAsia="fi-FI"/>
        </w:rPr>
      </w:pPr>
      <w:r w:rsidRPr="009747CA">
        <w:rPr>
          <w:rFonts w:cs="Arial"/>
        </w:rPr>
        <w:t>Proposal 4</w:t>
      </w:r>
      <w:r w:rsidRPr="00F03C85">
        <w:rPr>
          <w:rFonts w:asciiTheme="minorHAnsi" w:eastAsiaTheme="minorEastAsia" w:hAnsiTheme="minorHAnsi" w:cstheme="minorBidi"/>
          <w:b w:val="0"/>
          <w:sz w:val="22"/>
          <w:lang w:val="en-GB" w:eastAsia="fi-FI"/>
        </w:rPr>
        <w:tab/>
      </w:r>
      <w:r w:rsidRPr="009747CA">
        <w:rPr>
          <w:rFonts w:cs="Arial"/>
        </w:rPr>
        <w:t>It should be possible to keep the PDCP termination point and version during split to LTE DRB bearer type switch.</w:t>
      </w:r>
    </w:p>
    <w:p w14:paraId="4E4DED54" w14:textId="77777777" w:rsidR="00F03C85" w:rsidRPr="00F03C85" w:rsidRDefault="00F03C85">
      <w:pPr>
        <w:pStyle w:val="TOC1"/>
        <w:rPr>
          <w:rFonts w:asciiTheme="minorHAnsi" w:eastAsiaTheme="minorEastAsia" w:hAnsiTheme="minorHAnsi" w:cstheme="minorBidi"/>
          <w:b w:val="0"/>
          <w:sz w:val="22"/>
          <w:lang w:val="en-GB" w:eastAsia="fi-FI"/>
        </w:rPr>
      </w:pPr>
      <w:r w:rsidRPr="009747CA">
        <w:rPr>
          <w:rFonts w:cs="Arial"/>
        </w:rPr>
        <w:t>Proposal 5</w:t>
      </w:r>
      <w:r w:rsidRPr="00F03C85">
        <w:rPr>
          <w:rFonts w:asciiTheme="minorHAnsi" w:eastAsiaTheme="minorEastAsia" w:hAnsiTheme="minorHAnsi" w:cstheme="minorBidi"/>
          <w:b w:val="0"/>
          <w:sz w:val="22"/>
          <w:lang w:val="en-GB" w:eastAsia="fi-FI"/>
        </w:rPr>
        <w:tab/>
      </w:r>
      <w:r w:rsidRPr="009747CA">
        <w:rPr>
          <w:rFonts w:cs="Arial"/>
        </w:rPr>
        <w:t>PDCP reestablishment procedure is supported across PDCP versions (i.e. LTE PDCP to NR PDCP and vice versa).</w:t>
      </w:r>
    </w:p>
    <w:p w14:paraId="1E96968B" w14:textId="77777777" w:rsidR="00F03C85" w:rsidRPr="00F03C85" w:rsidRDefault="00F03C85">
      <w:pPr>
        <w:pStyle w:val="TOC1"/>
        <w:rPr>
          <w:rFonts w:asciiTheme="minorHAnsi" w:eastAsiaTheme="minorEastAsia" w:hAnsiTheme="minorHAnsi" w:cstheme="minorBidi"/>
          <w:b w:val="0"/>
          <w:sz w:val="22"/>
          <w:lang w:val="en-GB" w:eastAsia="fi-FI"/>
        </w:rPr>
      </w:pPr>
      <w:r w:rsidRPr="009747CA">
        <w:rPr>
          <w:rFonts w:cs="Arial"/>
        </w:rPr>
        <w:t>Proposal 6</w:t>
      </w:r>
      <w:r w:rsidRPr="00F03C85">
        <w:rPr>
          <w:rFonts w:asciiTheme="minorHAnsi" w:eastAsiaTheme="minorEastAsia" w:hAnsiTheme="minorHAnsi" w:cstheme="minorBidi"/>
          <w:b w:val="0"/>
          <w:sz w:val="22"/>
          <w:lang w:val="en-GB" w:eastAsia="fi-FI"/>
        </w:rPr>
        <w:tab/>
      </w:r>
      <w:r w:rsidRPr="009747CA">
        <w:rPr>
          <w:rFonts w:cs="Arial"/>
        </w:rPr>
        <w:t>For all bearer types, when the security key is changed, PDCP and RLC are re-established.</w:t>
      </w:r>
    </w:p>
    <w:p w14:paraId="121A22F9" w14:textId="77777777" w:rsidR="00F03C85" w:rsidRPr="00F03C85" w:rsidRDefault="00F03C85">
      <w:pPr>
        <w:pStyle w:val="TOC1"/>
        <w:rPr>
          <w:rFonts w:asciiTheme="minorHAnsi" w:eastAsiaTheme="minorEastAsia" w:hAnsiTheme="minorHAnsi" w:cstheme="minorBidi"/>
          <w:b w:val="0"/>
          <w:sz w:val="22"/>
          <w:lang w:val="en-GB" w:eastAsia="fi-FI"/>
        </w:rPr>
      </w:pPr>
      <w:r w:rsidRPr="009747CA">
        <w:rPr>
          <w:rFonts w:cs="Arial"/>
        </w:rPr>
        <w:t>Proposal 7</w:t>
      </w:r>
      <w:r w:rsidRPr="00F03C85">
        <w:rPr>
          <w:rFonts w:asciiTheme="minorHAnsi" w:eastAsiaTheme="minorEastAsia" w:hAnsiTheme="minorHAnsi" w:cstheme="minorBidi"/>
          <w:b w:val="0"/>
          <w:sz w:val="22"/>
          <w:lang w:val="en-GB" w:eastAsia="fi-FI"/>
        </w:rPr>
        <w:tab/>
      </w:r>
      <w:r w:rsidRPr="009747CA">
        <w:rPr>
          <w:rFonts w:cs="Arial"/>
        </w:rPr>
        <w:t>Current LTE mechanisms (MAC reset, partial MAC reset) can be reused to avoid security key ambiguity during bearer type change in CONNECTED state, i.e. there is no need to optimize this rare case.</w:t>
      </w:r>
    </w:p>
    <w:p w14:paraId="15F22755" w14:textId="36284235" w:rsidR="00FA62C3" w:rsidRPr="00DB6C69" w:rsidRDefault="00FA62C3" w:rsidP="00FA62C3">
      <w:pPr>
        <w:rPr>
          <w:rFonts w:cs="Arial"/>
          <w:b/>
          <w:bCs/>
        </w:rPr>
      </w:pPr>
      <w:r w:rsidRPr="00DB6C69">
        <w:rPr>
          <w:rFonts w:cs="Arial"/>
          <w:b/>
          <w:bCs/>
        </w:rPr>
        <w:fldChar w:fldCharType="end"/>
      </w:r>
    </w:p>
    <w:p w14:paraId="6C8F5D35" w14:textId="662C8335" w:rsidR="00377F41" w:rsidRPr="00DB6C69" w:rsidRDefault="00377F41" w:rsidP="00377F41">
      <w:pPr>
        <w:pStyle w:val="Heading1"/>
      </w:pPr>
      <w:r w:rsidRPr="00DB6C69">
        <w:t>Annex: Agreement history</w:t>
      </w:r>
    </w:p>
    <w:p w14:paraId="44439C58" w14:textId="77777777" w:rsidR="00377F41" w:rsidRPr="00DB6C69" w:rsidRDefault="00377F41" w:rsidP="00377F41">
      <w:pPr>
        <w:pStyle w:val="BodyText"/>
        <w:rPr>
          <w:rFonts w:cs="Arial"/>
        </w:rPr>
      </w:pPr>
      <w:r w:rsidRPr="00DB6C69">
        <w:rPr>
          <w:rFonts w:cs="Arial"/>
        </w:rPr>
        <w:t>At RAN2#96:</w:t>
      </w:r>
    </w:p>
    <w:p w14:paraId="70D1A219" w14:textId="77777777" w:rsidR="00377F41" w:rsidRPr="00DB6C69" w:rsidRDefault="00377F41" w:rsidP="00377F41">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Agreements</w:t>
      </w:r>
    </w:p>
    <w:p w14:paraId="354499E2" w14:textId="77777777" w:rsidR="00377F41" w:rsidRPr="00DB6C69" w:rsidRDefault="00377F41" w:rsidP="00377F41">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1</w:t>
      </w:r>
      <w:r w:rsidRPr="00DB6C69">
        <w:rPr>
          <w:rFonts w:cs="Arial"/>
        </w:rPr>
        <w:tab/>
        <w:t>In Scenario 3A, the PDCP layer for SCG Bearers is NR-PDCP.</w:t>
      </w:r>
    </w:p>
    <w:p w14:paraId="23D0563C" w14:textId="77777777" w:rsidR="00377F41" w:rsidRPr="00DB6C69" w:rsidRDefault="00377F41" w:rsidP="00377F41">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2</w:t>
      </w:r>
      <w:r w:rsidRPr="00DB6C69">
        <w:rPr>
          <w:rFonts w:cs="Arial"/>
        </w:rPr>
        <w:tab/>
        <w:t>In scenario 3A, there is a 1:1 mapping between S1 bearer and DRB for SCG bearers.</w:t>
      </w:r>
    </w:p>
    <w:p w14:paraId="0A88FB31" w14:textId="77777777" w:rsidR="00377F41" w:rsidRPr="00DB6C69" w:rsidRDefault="00377F41" w:rsidP="00377F41">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3</w:t>
      </w:r>
      <w:r w:rsidRPr="00DB6C69">
        <w:rPr>
          <w:rFonts w:cs="Arial"/>
        </w:rPr>
        <w:tab/>
        <w:t>For tight interworking, support is needed for reconfiguration between SCG bearer and MCG bearer, for reconfiguration of SCG bearer between two secondary nodes, for reconfiguration between MCG bearer and MCG split bearer (this doesn’t exclude other reconfiguration cases being discussed)</w:t>
      </w:r>
    </w:p>
    <w:p w14:paraId="44192D8A" w14:textId="77777777" w:rsidR="00377F41" w:rsidRPr="00DB6C69" w:rsidRDefault="00377F41" w:rsidP="00377F41">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4</w:t>
      </w:r>
      <w:r w:rsidRPr="00DB6C69">
        <w:rPr>
          <w:rFonts w:cs="Arial"/>
        </w:rPr>
        <w:tab/>
        <w:t>RAN2 will study PDCP procedures for changing the PDCP-SN length that are lossless and maintain ordered delivery of higher-layer data.  To be studied for reconfigurations between LTE and NR and reconfigurations within NR</w:t>
      </w:r>
    </w:p>
    <w:p w14:paraId="70BECEEB" w14:textId="77777777" w:rsidR="00377F41" w:rsidRPr="00DB6C69" w:rsidRDefault="00377F41" w:rsidP="00377F41">
      <w:pPr>
        <w:pStyle w:val="BodyText"/>
        <w:rPr>
          <w:rFonts w:cs="Arial"/>
        </w:rPr>
      </w:pPr>
    </w:p>
    <w:p w14:paraId="05F91DC9" w14:textId="7EDC9EA3" w:rsidR="00377F41" w:rsidRPr="00DB6C69" w:rsidRDefault="00377F41" w:rsidP="00377F41">
      <w:pPr>
        <w:pStyle w:val="BodyText"/>
        <w:rPr>
          <w:rFonts w:cs="Arial"/>
        </w:rPr>
      </w:pPr>
      <w:r w:rsidRPr="00DB6C69">
        <w:rPr>
          <w:rFonts w:cs="Arial"/>
        </w:rPr>
        <w:t>At RAN2 NR Adhoc January, 2017:</w:t>
      </w:r>
    </w:p>
    <w:p w14:paraId="40F8628A" w14:textId="77777777" w:rsidR="00377F41" w:rsidRPr="00DB6C69" w:rsidRDefault="00377F41" w:rsidP="00377F41">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Agreements</w:t>
      </w:r>
    </w:p>
    <w:p w14:paraId="13E91CA8" w14:textId="77777777" w:rsidR="00377F41" w:rsidRPr="00DB6C69" w:rsidRDefault="00377F41" w:rsidP="00377F41">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w:t>
      </w:r>
      <w:r w:rsidRPr="00DB6C69">
        <w:rPr>
          <w:rFonts w:cs="Arial"/>
        </w:rPr>
        <w:tab/>
        <w:t>Support Split bearer via SCG for E-UTRA-NR DC for case where LTE is the master node.</w:t>
      </w:r>
    </w:p>
    <w:p w14:paraId="70FD084F" w14:textId="77777777" w:rsidR="00377F41" w:rsidRPr="00DB6C69" w:rsidRDefault="00377F41" w:rsidP="00377F41">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FFS whether SCG split bearer is support for cases where NR is the master node</w:t>
      </w:r>
    </w:p>
    <w:p w14:paraId="3634B024" w14:textId="77777777" w:rsidR="00377F41" w:rsidRPr="00DB6C69" w:rsidRDefault="00377F41" w:rsidP="00377F41">
      <w:pPr>
        <w:pStyle w:val="Doc-text2"/>
        <w:rPr>
          <w:rFonts w:cs="Arial"/>
        </w:rPr>
      </w:pPr>
    </w:p>
    <w:p w14:paraId="1E562F38" w14:textId="77777777" w:rsidR="00377F41" w:rsidRPr="00DB6C69" w:rsidRDefault="00377F41" w:rsidP="00377F41">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Agreements</w:t>
      </w:r>
    </w:p>
    <w:p w14:paraId="6B5E3E86" w14:textId="77777777" w:rsidR="00377F41" w:rsidRPr="00DB6C69" w:rsidRDefault="00377F41" w:rsidP="00377F41">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w:t>
      </w:r>
      <w:r w:rsidRPr="00DB6C69">
        <w:rPr>
          <w:rFonts w:cs="Arial"/>
        </w:rPr>
        <w:tab/>
        <w:t>SCG split bearers where master node is LTE and secondary node is NR uses NR-PDCP.</w:t>
      </w:r>
    </w:p>
    <w:p w14:paraId="199189F3" w14:textId="77777777" w:rsidR="00377F41" w:rsidRPr="00DB6C69" w:rsidRDefault="00377F41" w:rsidP="00377F41">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w:t>
      </w:r>
      <w:r w:rsidRPr="00DB6C69">
        <w:rPr>
          <w:rFonts w:cs="Arial"/>
        </w:rPr>
        <w:tab/>
        <w:t xml:space="preserve">For SCG split bearer connected to EPC there is a 1:1 mapping between S1 bearer and DRB </w:t>
      </w:r>
    </w:p>
    <w:p w14:paraId="7F65FF13" w14:textId="77777777" w:rsidR="00377F41" w:rsidRPr="00DB6C69" w:rsidRDefault="00377F41" w:rsidP="00377F41">
      <w:pPr>
        <w:pStyle w:val="Doc-text2"/>
        <w:rPr>
          <w:rFonts w:cs="Arial"/>
        </w:rPr>
      </w:pPr>
    </w:p>
    <w:p w14:paraId="06F766E7" w14:textId="77777777" w:rsidR="00377F41" w:rsidRPr="00DB6C69" w:rsidRDefault="00377F41" w:rsidP="00377F41">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Agreements:</w:t>
      </w:r>
    </w:p>
    <w:p w14:paraId="5C336E14" w14:textId="77777777" w:rsidR="00377F41" w:rsidRPr="00DB6C69" w:rsidRDefault="00377F41" w:rsidP="00377F41">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1:</w:t>
      </w:r>
      <w:r w:rsidRPr="00DB6C69">
        <w:rPr>
          <w:rFonts w:cs="Arial"/>
        </w:rPr>
        <w:tab/>
        <w:t>Security key refresh is not performed at every mobility procedure (i.e. handover), at least for the case of mobility where the PDCP anchor point is not changed. (To be confirmed by SA3)</w:t>
      </w:r>
    </w:p>
    <w:p w14:paraId="3C12DE04" w14:textId="77777777" w:rsidR="00377F41" w:rsidRPr="00DB6C69" w:rsidRDefault="00377F41" w:rsidP="00377F41">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lastRenderedPageBreak/>
        <w:t>1a</w:t>
      </w:r>
      <w:r w:rsidRPr="00DB6C69">
        <w:rPr>
          <w:rFonts w:cs="Arial"/>
        </w:rPr>
        <w:tab/>
        <w:t>RAN2 will let SA3 consider whether the agreement 1 has any implication on the inputs for key derivation (e.g. PCI)</w:t>
      </w:r>
    </w:p>
    <w:p w14:paraId="22B52EB0" w14:textId="50F7BC3F" w:rsidR="00377F41" w:rsidRPr="00DB6C69" w:rsidRDefault="00377F41" w:rsidP="00377F41">
      <w:pPr>
        <w:rPr>
          <w:rFonts w:cs="Arial"/>
        </w:rPr>
      </w:pPr>
    </w:p>
    <w:p w14:paraId="25AACBC2" w14:textId="188978E2" w:rsidR="00377F41" w:rsidRPr="00DB6C69" w:rsidRDefault="00F50128" w:rsidP="00377F41">
      <w:pPr>
        <w:rPr>
          <w:rFonts w:cs="Arial"/>
        </w:rPr>
      </w:pPr>
      <w:r w:rsidRPr="00DB6C69">
        <w:rPr>
          <w:rFonts w:cs="Arial"/>
        </w:rPr>
        <w:t>At RAN2#97bis:</w:t>
      </w:r>
    </w:p>
    <w:p w14:paraId="04D51494" w14:textId="77777777" w:rsidR="00F50128" w:rsidRPr="00DB6C69" w:rsidRDefault="00F50128" w:rsidP="00F50128">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Agreements</w:t>
      </w:r>
    </w:p>
    <w:p w14:paraId="7D832F59" w14:textId="77777777" w:rsidR="00F50128" w:rsidRPr="00DB6C69" w:rsidRDefault="00F50128" w:rsidP="00F50128">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1: The following combinations of bearer types cannot be configured simultaneously in LTE-NR DC simultaneously for user plane DRBs:</w:t>
      </w:r>
    </w:p>
    <w:p w14:paraId="2CBC6DBF" w14:textId="77777777" w:rsidR="00F50128" w:rsidRPr="00DB6C69" w:rsidRDefault="00F50128" w:rsidP="00F50128">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w:t>
      </w:r>
      <w:r w:rsidRPr="00DB6C69">
        <w:rPr>
          <w:rFonts w:cs="Arial"/>
        </w:rPr>
        <w:tab/>
        <w:t>MCG split bearer and SCG split bearer</w:t>
      </w:r>
    </w:p>
    <w:p w14:paraId="53CB014B" w14:textId="77777777" w:rsidR="00F50128" w:rsidRPr="00DB6C69" w:rsidRDefault="00F50128" w:rsidP="00F50128">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w:t>
      </w:r>
      <w:r w:rsidRPr="00DB6C69">
        <w:rPr>
          <w:rFonts w:cs="Arial"/>
        </w:rPr>
        <w:tab/>
        <w:t>MCG split bearer and SCG bearer (same as LTE DC)</w:t>
      </w:r>
    </w:p>
    <w:p w14:paraId="6CEF3244" w14:textId="71F3566E" w:rsidR="00F50128" w:rsidRPr="00DB6C69" w:rsidRDefault="00F50128" w:rsidP="00377F41">
      <w:pPr>
        <w:rPr>
          <w:rFonts w:cs="Arial"/>
        </w:rPr>
      </w:pPr>
    </w:p>
    <w:p w14:paraId="25B1E925" w14:textId="77777777" w:rsidR="00F50128" w:rsidRPr="00DB6C69" w:rsidRDefault="00F50128" w:rsidP="00F50128">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Agreements</w:t>
      </w:r>
    </w:p>
    <w:p w14:paraId="354A0230" w14:textId="77777777" w:rsidR="00F50128" w:rsidRPr="00DB6C69" w:rsidRDefault="00F50128" w:rsidP="00F50128">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 xml:space="preserve">1: LTE-NR DC should support at least following bearer type change options </w:t>
      </w:r>
    </w:p>
    <w:p w14:paraId="7342CBCB" w14:textId="77777777" w:rsidR="00F50128" w:rsidRPr="00DB6C69" w:rsidRDefault="00F50128" w:rsidP="00F50128">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w:t>
      </w:r>
      <w:r w:rsidRPr="00DB6C69">
        <w:rPr>
          <w:rFonts w:cs="Arial"/>
        </w:rPr>
        <w:tab/>
        <w:t>MCG bearer to/from MCG split bearer,</w:t>
      </w:r>
    </w:p>
    <w:p w14:paraId="64911B36" w14:textId="77777777" w:rsidR="00F50128" w:rsidRPr="00DB6C69" w:rsidRDefault="00F50128" w:rsidP="00F50128">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w:t>
      </w:r>
      <w:r w:rsidRPr="00DB6C69">
        <w:rPr>
          <w:rFonts w:cs="Arial"/>
        </w:rPr>
        <w:tab/>
        <w:t>MCG bearer to/from SCG bearer,</w:t>
      </w:r>
    </w:p>
    <w:p w14:paraId="2DCDD92F" w14:textId="77777777" w:rsidR="00F50128" w:rsidRPr="00DB6C69" w:rsidRDefault="00F50128" w:rsidP="00F50128">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w:t>
      </w:r>
      <w:r w:rsidRPr="00DB6C69">
        <w:rPr>
          <w:rFonts w:cs="Arial"/>
        </w:rPr>
        <w:tab/>
        <w:t>MCG bearer to MCG bearer,</w:t>
      </w:r>
    </w:p>
    <w:p w14:paraId="4D11AF7F" w14:textId="77777777" w:rsidR="00F50128" w:rsidRPr="00DB6C69" w:rsidRDefault="00F50128" w:rsidP="00F50128">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w:t>
      </w:r>
      <w:r w:rsidRPr="00DB6C69">
        <w:rPr>
          <w:rFonts w:cs="Arial"/>
        </w:rPr>
        <w:tab/>
        <w:t>SCG bearer to SCG bearer,</w:t>
      </w:r>
    </w:p>
    <w:p w14:paraId="3A8689A8" w14:textId="77777777" w:rsidR="00F50128" w:rsidRPr="00DB6C69" w:rsidRDefault="00F50128" w:rsidP="00F50128">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w:t>
      </w:r>
      <w:r w:rsidRPr="00DB6C69">
        <w:rPr>
          <w:rFonts w:cs="Arial"/>
        </w:rPr>
        <w:tab/>
        <w:t>MCG split bearer to MCG split bearer</w:t>
      </w:r>
    </w:p>
    <w:p w14:paraId="565BC8CC" w14:textId="77777777" w:rsidR="00F50128" w:rsidRPr="00DB6C69" w:rsidRDefault="00F50128" w:rsidP="00F50128">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2: LTE-NR DC should not support the direct bearer type change between MCG split bearer and SCG bearer.</w:t>
      </w:r>
    </w:p>
    <w:p w14:paraId="1A3320FD" w14:textId="77777777" w:rsidR="00F50128" w:rsidRPr="00DB6C69" w:rsidRDefault="00F50128" w:rsidP="00F50128">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3: LTE-NR DC should support the one step bearer type change between MCG bearer to/from SCG split bearer.</w:t>
      </w:r>
    </w:p>
    <w:p w14:paraId="36854C73" w14:textId="77777777" w:rsidR="00F50128" w:rsidRPr="00DB6C69" w:rsidRDefault="00F50128" w:rsidP="00F50128">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4</w:t>
      </w:r>
      <w:r w:rsidRPr="00DB6C69">
        <w:rPr>
          <w:rFonts w:cs="Arial"/>
        </w:rPr>
        <w:tab/>
        <w:t xml:space="preserve"> LTE-NR DC shall support the bearer type change between SCG bearer and SCG split bearer.</w:t>
      </w:r>
    </w:p>
    <w:p w14:paraId="32D296A5" w14:textId="77777777" w:rsidR="00F50128" w:rsidRPr="00DB6C69" w:rsidRDefault="00F50128" w:rsidP="00F50128">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6: LTE-NR DC should support the bearer type change between SCG split bearer and SCG split bearer.</w:t>
      </w:r>
    </w:p>
    <w:p w14:paraId="53E9FAA0" w14:textId="77777777" w:rsidR="00F50128" w:rsidRPr="00DB6C69" w:rsidRDefault="00F50128" w:rsidP="00F50128">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FFS: Whether LTE-NR DC shall support the direct type change between MCG split bearer to/from SCG split bearer.</w:t>
      </w:r>
    </w:p>
    <w:p w14:paraId="712DEA8F" w14:textId="77777777" w:rsidR="00F720F6" w:rsidRPr="00DB6C69" w:rsidRDefault="00F720F6" w:rsidP="00377F41">
      <w:pPr>
        <w:rPr>
          <w:rFonts w:cs="Arial"/>
        </w:rPr>
      </w:pPr>
    </w:p>
    <w:p w14:paraId="3A4670BC" w14:textId="7A0B50E7" w:rsidR="00F720F6" w:rsidRPr="00DB6C69" w:rsidRDefault="00384009" w:rsidP="00F720F6">
      <w:pPr>
        <w:rPr>
          <w:rFonts w:cs="Arial"/>
        </w:rPr>
      </w:pPr>
      <w:r w:rsidRPr="00DB6C69">
        <w:rPr>
          <w:rFonts w:cs="Arial"/>
        </w:rPr>
        <w:t>At RAN2#</w:t>
      </w:r>
      <w:r w:rsidR="007349C0">
        <w:rPr>
          <w:rFonts w:cs="Arial"/>
        </w:rPr>
        <w:t>NR-</w:t>
      </w:r>
      <w:r w:rsidRPr="00DB6C69">
        <w:rPr>
          <w:rFonts w:cs="Arial"/>
        </w:rPr>
        <w:t>AH2:</w:t>
      </w:r>
    </w:p>
    <w:p w14:paraId="54A4DB05" w14:textId="77777777" w:rsidR="00F720F6" w:rsidRPr="00DB6C69" w:rsidRDefault="00F720F6" w:rsidP="00F720F6">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Agreements</w:t>
      </w:r>
    </w:p>
    <w:p w14:paraId="53732A74" w14:textId="77777777" w:rsidR="00F720F6" w:rsidRPr="00DB6C69" w:rsidRDefault="00F720F6" w:rsidP="00F720F6">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1</w:t>
      </w:r>
      <w:r w:rsidRPr="00DB6C69">
        <w:rPr>
          <w:rFonts w:cs="Arial"/>
        </w:rPr>
        <w:tab/>
        <w:t>The same PDCP protocol specification is used for DRBs for MCG split bearer, SCG split bearer and SCG bearer.</w:t>
      </w:r>
    </w:p>
    <w:p w14:paraId="0430839A" w14:textId="77777777" w:rsidR="00F720F6" w:rsidRPr="00DB6C69" w:rsidRDefault="00F720F6" w:rsidP="00F720F6">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2</w:t>
      </w:r>
      <w:r w:rsidRPr="00DB6C69">
        <w:rPr>
          <w:rFonts w:cs="Arial"/>
        </w:rPr>
        <w:tab/>
        <w:t>This PDCP protocol is specified in 38.323 (NR PDCP).</w:t>
      </w:r>
    </w:p>
    <w:p w14:paraId="54356E28" w14:textId="77777777" w:rsidR="00F720F6" w:rsidRPr="00DB6C69" w:rsidRDefault="00F720F6" w:rsidP="00F720F6">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FFS: When EN-DC is configured, whether the MCG bearer only uses one PDCP type or the MCG bearer can use either LTE PDCP or NR PDCP up to the NW decision. Bearer type changes to be supported also need to be considered.</w:t>
      </w:r>
    </w:p>
    <w:p w14:paraId="20CFCBC0" w14:textId="77777777" w:rsidR="00F720F6" w:rsidRPr="00DB6C69" w:rsidRDefault="00F720F6" w:rsidP="00F720F6">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3</w:t>
      </w:r>
      <w:r w:rsidRPr="00DB6C69">
        <w:rPr>
          <w:rFonts w:cs="Arial"/>
        </w:rPr>
        <w:tab/>
        <w:t>For bearers configured with NR PDCP the network configures the UE with which key (from a set of possible keys) to use. FFS the maximum number of possible keys in the set . Ask SA3 for the number of keys to be supported and to define the key derivation? Detailed wording of LS, including sufficient background info, can be worked offline.</w:t>
      </w:r>
    </w:p>
    <w:p w14:paraId="5EC848B5" w14:textId="77777777" w:rsidR="00F720F6" w:rsidRPr="00DB6C69" w:rsidRDefault="00F720F6" w:rsidP="00F720F6">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4</w:t>
      </w:r>
      <w:r w:rsidRPr="00DB6C69">
        <w:rPr>
          <w:rFonts w:cs="Arial"/>
        </w:rPr>
        <w:tab/>
        <w:t>The location of the PDCP entity is decided by the MN</w:t>
      </w:r>
    </w:p>
    <w:p w14:paraId="7710BA2D" w14:textId="1391F8B4" w:rsidR="00F720F6" w:rsidRPr="00DB6C69" w:rsidRDefault="00F720F6" w:rsidP="00377F41">
      <w:pPr>
        <w:rPr>
          <w:rFonts w:cs="Arial"/>
        </w:rPr>
      </w:pPr>
    </w:p>
    <w:p w14:paraId="1A9F9352" w14:textId="77777777" w:rsidR="00AF4F13" w:rsidRPr="00DB6C69" w:rsidRDefault="00AF4F13" w:rsidP="00AF4F13">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Agreements</w:t>
      </w:r>
    </w:p>
    <w:p w14:paraId="76E36490" w14:textId="77777777" w:rsidR="00AF4F13" w:rsidRPr="00DB6C69" w:rsidRDefault="00AF4F13" w:rsidP="00AF4F13">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1:</w:t>
      </w:r>
      <w:r w:rsidRPr="00DB6C69">
        <w:rPr>
          <w:rFonts w:cs="Arial"/>
        </w:rPr>
        <w:tab/>
        <w:t>NR PDCP configuration is contained in separate NR container different from the NR container for other NR configurations</w:t>
      </w:r>
    </w:p>
    <w:p w14:paraId="0C95D5DC" w14:textId="77777777" w:rsidR="00AF4F13" w:rsidRPr="00DB6C69" w:rsidRDefault="00AF4F13" w:rsidP="00AF4F13">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2:</w:t>
      </w:r>
      <w:r w:rsidRPr="00DB6C69">
        <w:rPr>
          <w:rFonts w:cs="Arial"/>
        </w:rPr>
        <w:tab/>
        <w:t>If the anchor is in the MN, NR PDCP config is generated by MN itself. If the anchor is in SN, the SN should generate NR PDCP config and send it to MCG as separate container.</w:t>
      </w:r>
    </w:p>
    <w:p w14:paraId="6B3A21FA" w14:textId="77777777" w:rsidR="00AF4F13" w:rsidRPr="00DB6C69" w:rsidRDefault="00AF4F13" w:rsidP="00AF4F13">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3:</w:t>
      </w:r>
      <w:r w:rsidRPr="00DB6C69">
        <w:rPr>
          <w:rFonts w:cs="Arial"/>
        </w:rPr>
        <w:tab/>
        <w:t>In EN-DC, LTE RRC message contains:</w:t>
      </w:r>
    </w:p>
    <w:p w14:paraId="3036517B" w14:textId="77777777" w:rsidR="00AF4F13" w:rsidRPr="00DB6C69" w:rsidRDefault="00AF4F13" w:rsidP="00AF4F13">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w:t>
      </w:r>
      <w:r w:rsidRPr="00DB6C69">
        <w:rPr>
          <w:rFonts w:cs="Arial"/>
        </w:rPr>
        <w:tab/>
        <w:t>SCG bearer: NR PDCP container + NR configuration container on NR RLC, MAC and physical layers;</w:t>
      </w:r>
    </w:p>
    <w:p w14:paraId="2EE0B79F" w14:textId="77777777" w:rsidR="00AF4F13" w:rsidRPr="00DB6C69" w:rsidRDefault="00AF4F13" w:rsidP="00AF4F13">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w:t>
      </w:r>
      <w:r w:rsidRPr="00DB6C69">
        <w:rPr>
          <w:rFonts w:cs="Arial"/>
        </w:rPr>
        <w:tab/>
        <w:t>Split bearer: NR PDCP container + LTE configurations on RLC, MAC and physical layers + NR configuration container on NR RLC, MAC and physical layers, etc;</w:t>
      </w:r>
    </w:p>
    <w:p w14:paraId="7DF123BA" w14:textId="77777777" w:rsidR="00AF4F13" w:rsidRPr="00DB6C69" w:rsidRDefault="00AF4F13" w:rsidP="00AF4F13">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w:t>
      </w:r>
      <w:r w:rsidRPr="00DB6C69">
        <w:rPr>
          <w:rFonts w:cs="Arial"/>
        </w:rPr>
        <w:tab/>
        <w:t>NR PDCP config carried in the container is an IE.</w:t>
      </w:r>
    </w:p>
    <w:p w14:paraId="26F49606" w14:textId="77777777" w:rsidR="00AF4F13" w:rsidRPr="00DB6C69" w:rsidRDefault="00AF4F13" w:rsidP="00AF4F13">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w:t>
      </w:r>
      <w:r w:rsidRPr="00DB6C69">
        <w:rPr>
          <w:rFonts w:cs="Arial"/>
        </w:rPr>
        <w:tab/>
        <w:t>SCG RLC/MAC/Phy/etc config carried on the container is an NR RRC PDU.</w:t>
      </w:r>
    </w:p>
    <w:p w14:paraId="102C3CF9" w14:textId="77777777" w:rsidR="00AF4F13" w:rsidRPr="00DB6C69" w:rsidRDefault="00AF4F13" w:rsidP="00AF4F13">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FFS Whether there are situations (e.g. PDCP reconfiguration) the NR RRC PDU from the SN can contain a PDCP configuration.</w:t>
      </w:r>
    </w:p>
    <w:p w14:paraId="0C2BD94D" w14:textId="77777777" w:rsidR="00AF4F13" w:rsidRPr="00DB6C69" w:rsidRDefault="00AF4F13" w:rsidP="00AF4F13">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FFS Signalling details of how the PDCP configuration and lower layer configuration are linked.</w:t>
      </w:r>
    </w:p>
    <w:p w14:paraId="14717FDC" w14:textId="77777777" w:rsidR="00AF4F13" w:rsidRPr="00DB6C69" w:rsidRDefault="00AF4F13" w:rsidP="00377F41">
      <w:pPr>
        <w:rPr>
          <w:rFonts w:cs="Arial"/>
        </w:rPr>
      </w:pPr>
    </w:p>
    <w:p w14:paraId="4577C8FD" w14:textId="77777777" w:rsidR="00384009" w:rsidRPr="00DB6C69" w:rsidRDefault="00384009" w:rsidP="00384009">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Agreement</w:t>
      </w:r>
    </w:p>
    <w:p w14:paraId="1F66672F" w14:textId="77777777" w:rsidR="00384009" w:rsidRPr="00DB6C69" w:rsidRDefault="00384009" w:rsidP="00384009">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1:</w:t>
      </w:r>
      <w:r w:rsidRPr="00DB6C69">
        <w:rPr>
          <w:rFonts w:cs="Arial"/>
        </w:rPr>
        <w:tab/>
        <w:t>For SCG bearer, when S-KgNB is changed or PDCP anchor is changed then SCG PDCP re-established, SCG RLC re-established. FFS whether SCG MAC is reset.</w:t>
      </w:r>
    </w:p>
    <w:p w14:paraId="66ACF319" w14:textId="69B57F95" w:rsidR="00384009" w:rsidRPr="00DB6C69" w:rsidRDefault="00384009" w:rsidP="00377F41">
      <w:pPr>
        <w:rPr>
          <w:rFonts w:cs="Arial"/>
        </w:rPr>
      </w:pPr>
    </w:p>
    <w:p w14:paraId="64DD3F40" w14:textId="77777777" w:rsidR="00384009" w:rsidRPr="00DB6C69" w:rsidRDefault="00384009" w:rsidP="00384009">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Agreements for EN-DC</w:t>
      </w:r>
    </w:p>
    <w:p w14:paraId="16D069E5" w14:textId="77777777" w:rsidR="00384009" w:rsidRPr="00DB6C69" w:rsidRDefault="00384009" w:rsidP="00384009">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1:</w:t>
      </w:r>
      <w:r w:rsidRPr="00DB6C69">
        <w:rPr>
          <w:rFonts w:cs="Arial"/>
        </w:rPr>
        <w:tab/>
        <w:t>For handover, for MCG bearer, split bearer and SCG bearer, MCG/SCG PDCP/RLC should be re-established and MCG/SCG MAC should be reset.</w:t>
      </w:r>
    </w:p>
    <w:p w14:paraId="547B4264" w14:textId="77777777" w:rsidR="00384009" w:rsidRPr="00DB6C69" w:rsidRDefault="00384009" w:rsidP="00384009">
      <w:pPr>
        <w:pStyle w:val="Doc-text2"/>
        <w:pBdr>
          <w:top w:val="single" w:sz="4" w:space="1" w:color="auto"/>
          <w:left w:val="single" w:sz="4" w:space="4" w:color="auto"/>
          <w:bottom w:val="single" w:sz="4" w:space="1" w:color="auto"/>
          <w:right w:val="single" w:sz="4" w:space="4" w:color="auto"/>
        </w:pBdr>
        <w:rPr>
          <w:rFonts w:cs="Arial"/>
        </w:rPr>
      </w:pPr>
    </w:p>
    <w:p w14:paraId="17AEEC1E" w14:textId="77777777" w:rsidR="00384009" w:rsidRPr="00DB6C69" w:rsidRDefault="00384009" w:rsidP="00384009">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2</w:t>
      </w:r>
      <w:r w:rsidRPr="00DB6C69">
        <w:rPr>
          <w:rFonts w:cs="Arial"/>
        </w:rPr>
        <w:tab/>
        <w:t>For SCG bearer, when S-KgNB is changed due to key re-fresh (even if we have per bearer key) or SgNB change then SCG PDCP re-established, SCG RLC re-established, SCG MAC is reset;</w:t>
      </w:r>
    </w:p>
    <w:p w14:paraId="2CA5030E" w14:textId="77777777" w:rsidR="00384009" w:rsidRPr="00DB6C69" w:rsidRDefault="00384009" w:rsidP="00384009">
      <w:pPr>
        <w:pStyle w:val="Doc-text2"/>
        <w:pBdr>
          <w:top w:val="single" w:sz="4" w:space="1" w:color="auto"/>
          <w:left w:val="single" w:sz="4" w:space="4" w:color="auto"/>
          <w:bottom w:val="single" w:sz="4" w:space="1" w:color="auto"/>
          <w:right w:val="single" w:sz="4" w:space="4" w:color="auto"/>
        </w:pBdr>
        <w:rPr>
          <w:rFonts w:cs="Arial"/>
        </w:rPr>
      </w:pPr>
      <w:r w:rsidRPr="00DB6C69">
        <w:rPr>
          <w:rFonts w:cs="Arial"/>
        </w:rPr>
        <w:tab/>
        <w:t>Note: if solution for bearer type change is applicable then it could be considered to be used also for this case.</w:t>
      </w:r>
    </w:p>
    <w:p w14:paraId="72EC69EB" w14:textId="77777777" w:rsidR="00384009" w:rsidRPr="00DB6C69" w:rsidRDefault="00384009" w:rsidP="00377F41">
      <w:pPr>
        <w:rPr>
          <w:rFonts w:cs="Arial"/>
        </w:rPr>
      </w:pPr>
    </w:p>
    <w:p w14:paraId="5AC03361" w14:textId="77777777" w:rsidR="00384009" w:rsidRPr="00DB6C69" w:rsidRDefault="00384009" w:rsidP="00377F41">
      <w:pPr>
        <w:rPr>
          <w:rFonts w:cs="Arial"/>
        </w:rPr>
      </w:pPr>
    </w:p>
    <w:sectPr w:rsidR="00384009" w:rsidRPr="00DB6C69">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010A4" w14:textId="77777777" w:rsidR="0019498B" w:rsidRDefault="0019498B">
      <w:r>
        <w:separator/>
      </w:r>
    </w:p>
  </w:endnote>
  <w:endnote w:type="continuationSeparator" w:id="0">
    <w:p w14:paraId="1C9B27C2" w14:textId="77777777" w:rsidR="0019498B" w:rsidRDefault="0019498B">
      <w:r>
        <w:continuationSeparator/>
      </w:r>
    </w:p>
  </w:endnote>
  <w:endnote w:type="continuationNotice" w:id="1">
    <w:p w14:paraId="479A4DEA" w14:textId="77777777" w:rsidR="0019498B" w:rsidRDefault="001949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1E3EAE" w14:textId="77777777" w:rsidR="00380157" w:rsidRDefault="003801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3E87A" w14:textId="746B22B7" w:rsidR="00380157" w:rsidRDefault="0038015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F204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F204E">
      <w:rPr>
        <w:rStyle w:val="PageNumber"/>
      </w:rPr>
      <w:t>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91A99" w14:textId="77777777" w:rsidR="00380157" w:rsidRDefault="003801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108F7" w14:textId="77777777" w:rsidR="0019498B" w:rsidRDefault="0019498B">
      <w:r>
        <w:separator/>
      </w:r>
    </w:p>
  </w:footnote>
  <w:footnote w:type="continuationSeparator" w:id="0">
    <w:p w14:paraId="69604290" w14:textId="77777777" w:rsidR="0019498B" w:rsidRDefault="0019498B">
      <w:r>
        <w:continuationSeparator/>
      </w:r>
    </w:p>
  </w:footnote>
  <w:footnote w:type="continuationNotice" w:id="1">
    <w:p w14:paraId="1F55E4E9" w14:textId="77777777" w:rsidR="0019498B" w:rsidRDefault="001949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EA8212" w14:textId="77777777" w:rsidR="00380157" w:rsidRDefault="00380157">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D727A9" w14:textId="77777777" w:rsidR="00380157" w:rsidRDefault="003801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9E24E" w14:textId="77777777" w:rsidR="00380157" w:rsidRDefault="003801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B96E4A1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7614EBD"/>
    <w:multiLevelType w:val="hybridMultilevel"/>
    <w:tmpl w:val="40D23CBC"/>
    <w:lvl w:ilvl="0" w:tplc="0F8A718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C273E1"/>
    <w:multiLevelType w:val="hybridMultilevel"/>
    <w:tmpl w:val="A7E8E65A"/>
    <w:lvl w:ilvl="0" w:tplc="040B0001">
      <w:start w:val="1"/>
      <w:numFmt w:val="bullet"/>
      <w:lvlText w:val=""/>
      <w:lvlJc w:val="left"/>
      <w:pPr>
        <w:ind w:left="1287" w:hanging="360"/>
      </w:pPr>
      <w:rPr>
        <w:rFonts w:ascii="Symbol" w:hAnsi="Symbol" w:hint="default"/>
      </w:rPr>
    </w:lvl>
    <w:lvl w:ilvl="1" w:tplc="040B0003" w:tentative="1">
      <w:start w:val="1"/>
      <w:numFmt w:val="bullet"/>
      <w:lvlText w:val="o"/>
      <w:lvlJc w:val="left"/>
      <w:pPr>
        <w:ind w:left="2007" w:hanging="360"/>
      </w:pPr>
      <w:rPr>
        <w:rFonts w:ascii="Courier New" w:hAnsi="Courier New" w:cs="Courier New" w:hint="default"/>
      </w:rPr>
    </w:lvl>
    <w:lvl w:ilvl="2" w:tplc="040B0005" w:tentative="1">
      <w:start w:val="1"/>
      <w:numFmt w:val="bullet"/>
      <w:lvlText w:val=""/>
      <w:lvlJc w:val="left"/>
      <w:pPr>
        <w:ind w:left="2727" w:hanging="360"/>
      </w:pPr>
      <w:rPr>
        <w:rFonts w:ascii="Wingdings" w:hAnsi="Wingdings" w:hint="default"/>
      </w:rPr>
    </w:lvl>
    <w:lvl w:ilvl="3" w:tplc="040B0001" w:tentative="1">
      <w:start w:val="1"/>
      <w:numFmt w:val="bullet"/>
      <w:lvlText w:val=""/>
      <w:lvlJc w:val="left"/>
      <w:pPr>
        <w:ind w:left="3447" w:hanging="360"/>
      </w:pPr>
      <w:rPr>
        <w:rFonts w:ascii="Symbol" w:hAnsi="Symbol" w:hint="default"/>
      </w:rPr>
    </w:lvl>
    <w:lvl w:ilvl="4" w:tplc="040B0003" w:tentative="1">
      <w:start w:val="1"/>
      <w:numFmt w:val="bullet"/>
      <w:lvlText w:val="o"/>
      <w:lvlJc w:val="left"/>
      <w:pPr>
        <w:ind w:left="4167" w:hanging="360"/>
      </w:pPr>
      <w:rPr>
        <w:rFonts w:ascii="Courier New" w:hAnsi="Courier New" w:cs="Courier New" w:hint="default"/>
      </w:rPr>
    </w:lvl>
    <w:lvl w:ilvl="5" w:tplc="040B0005" w:tentative="1">
      <w:start w:val="1"/>
      <w:numFmt w:val="bullet"/>
      <w:lvlText w:val=""/>
      <w:lvlJc w:val="left"/>
      <w:pPr>
        <w:ind w:left="4887" w:hanging="360"/>
      </w:pPr>
      <w:rPr>
        <w:rFonts w:ascii="Wingdings" w:hAnsi="Wingdings" w:hint="default"/>
      </w:rPr>
    </w:lvl>
    <w:lvl w:ilvl="6" w:tplc="040B0001" w:tentative="1">
      <w:start w:val="1"/>
      <w:numFmt w:val="bullet"/>
      <w:lvlText w:val=""/>
      <w:lvlJc w:val="left"/>
      <w:pPr>
        <w:ind w:left="5607" w:hanging="360"/>
      </w:pPr>
      <w:rPr>
        <w:rFonts w:ascii="Symbol" w:hAnsi="Symbol" w:hint="default"/>
      </w:rPr>
    </w:lvl>
    <w:lvl w:ilvl="7" w:tplc="040B0003" w:tentative="1">
      <w:start w:val="1"/>
      <w:numFmt w:val="bullet"/>
      <w:lvlText w:val="o"/>
      <w:lvlJc w:val="left"/>
      <w:pPr>
        <w:ind w:left="6327" w:hanging="360"/>
      </w:pPr>
      <w:rPr>
        <w:rFonts w:ascii="Courier New" w:hAnsi="Courier New" w:cs="Courier New" w:hint="default"/>
      </w:rPr>
    </w:lvl>
    <w:lvl w:ilvl="8" w:tplc="040B0005" w:tentative="1">
      <w:start w:val="1"/>
      <w:numFmt w:val="bullet"/>
      <w:lvlText w:val=""/>
      <w:lvlJc w:val="left"/>
      <w:pPr>
        <w:ind w:left="7047" w:hanging="360"/>
      </w:pPr>
      <w:rPr>
        <w:rFonts w:ascii="Wingdings" w:hAnsi="Wingdings" w:hint="default"/>
      </w:rPr>
    </w:lvl>
  </w:abstractNum>
  <w:abstractNum w:abstractNumId="10" w15:restartNumberingAfterBreak="0">
    <w:nsid w:val="391353D8"/>
    <w:multiLevelType w:val="hybridMultilevel"/>
    <w:tmpl w:val="7B40E788"/>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3A4661AB"/>
    <w:multiLevelType w:val="hybridMultilevel"/>
    <w:tmpl w:val="3F343888"/>
    <w:lvl w:ilvl="0" w:tplc="2A263734">
      <w:start w:val="1"/>
      <w:numFmt w:val="bullet"/>
      <w:lvlText w:val="›"/>
      <w:lvlJc w:val="left"/>
      <w:pPr>
        <w:tabs>
          <w:tab w:val="num" w:pos="720"/>
        </w:tabs>
        <w:ind w:left="720" w:hanging="360"/>
      </w:pPr>
      <w:rPr>
        <w:rFonts w:ascii="Arial" w:hAnsi="Arial" w:hint="default"/>
      </w:rPr>
    </w:lvl>
    <w:lvl w:ilvl="1" w:tplc="4828A02C">
      <w:numFmt w:val="bullet"/>
      <w:lvlText w:val="–"/>
      <w:lvlJc w:val="left"/>
      <w:pPr>
        <w:tabs>
          <w:tab w:val="num" w:pos="1440"/>
        </w:tabs>
        <w:ind w:left="1440" w:hanging="360"/>
      </w:pPr>
      <w:rPr>
        <w:rFonts w:ascii="Ericsson Capital TT" w:hAnsi="Ericsson Capital TT" w:hint="default"/>
      </w:rPr>
    </w:lvl>
    <w:lvl w:ilvl="2" w:tplc="43A213EC">
      <w:numFmt w:val="bullet"/>
      <w:lvlText w:val="›"/>
      <w:lvlJc w:val="left"/>
      <w:pPr>
        <w:tabs>
          <w:tab w:val="num" w:pos="2160"/>
        </w:tabs>
        <w:ind w:left="2160" w:hanging="360"/>
      </w:pPr>
      <w:rPr>
        <w:rFonts w:ascii="Ericsson Capital TT" w:hAnsi="Ericsson Capital TT" w:hint="default"/>
      </w:rPr>
    </w:lvl>
    <w:lvl w:ilvl="3" w:tplc="C978AB3E">
      <w:numFmt w:val="bullet"/>
      <w:lvlText w:val="-"/>
      <w:lvlJc w:val="left"/>
      <w:pPr>
        <w:tabs>
          <w:tab w:val="num" w:pos="2880"/>
        </w:tabs>
        <w:ind w:left="2880" w:hanging="360"/>
      </w:pPr>
      <w:rPr>
        <w:rFonts w:ascii="Ericsson Capital TT" w:hAnsi="Ericsson Capital TT" w:hint="default"/>
      </w:rPr>
    </w:lvl>
    <w:lvl w:ilvl="4" w:tplc="F3DE1D66" w:tentative="1">
      <w:start w:val="1"/>
      <w:numFmt w:val="bullet"/>
      <w:lvlText w:val="›"/>
      <w:lvlJc w:val="left"/>
      <w:pPr>
        <w:tabs>
          <w:tab w:val="num" w:pos="3600"/>
        </w:tabs>
        <w:ind w:left="3600" w:hanging="360"/>
      </w:pPr>
      <w:rPr>
        <w:rFonts w:ascii="Arial" w:hAnsi="Arial" w:hint="default"/>
      </w:rPr>
    </w:lvl>
    <w:lvl w:ilvl="5" w:tplc="132E1BDA" w:tentative="1">
      <w:start w:val="1"/>
      <w:numFmt w:val="bullet"/>
      <w:lvlText w:val="›"/>
      <w:lvlJc w:val="left"/>
      <w:pPr>
        <w:tabs>
          <w:tab w:val="num" w:pos="4320"/>
        </w:tabs>
        <w:ind w:left="4320" w:hanging="360"/>
      </w:pPr>
      <w:rPr>
        <w:rFonts w:ascii="Arial" w:hAnsi="Arial" w:hint="default"/>
      </w:rPr>
    </w:lvl>
    <w:lvl w:ilvl="6" w:tplc="BBA0580A" w:tentative="1">
      <w:start w:val="1"/>
      <w:numFmt w:val="bullet"/>
      <w:lvlText w:val="›"/>
      <w:lvlJc w:val="left"/>
      <w:pPr>
        <w:tabs>
          <w:tab w:val="num" w:pos="5040"/>
        </w:tabs>
        <w:ind w:left="5040" w:hanging="360"/>
      </w:pPr>
      <w:rPr>
        <w:rFonts w:ascii="Arial" w:hAnsi="Arial" w:hint="default"/>
      </w:rPr>
    </w:lvl>
    <w:lvl w:ilvl="7" w:tplc="F2205FAC" w:tentative="1">
      <w:start w:val="1"/>
      <w:numFmt w:val="bullet"/>
      <w:lvlText w:val="›"/>
      <w:lvlJc w:val="left"/>
      <w:pPr>
        <w:tabs>
          <w:tab w:val="num" w:pos="5760"/>
        </w:tabs>
        <w:ind w:left="5760" w:hanging="360"/>
      </w:pPr>
      <w:rPr>
        <w:rFonts w:ascii="Arial" w:hAnsi="Arial" w:hint="default"/>
      </w:rPr>
    </w:lvl>
    <w:lvl w:ilvl="8" w:tplc="B0CC35A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A36607"/>
    <w:multiLevelType w:val="hybridMultilevel"/>
    <w:tmpl w:val="89B42B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41406"/>
    <w:multiLevelType w:val="hybridMultilevel"/>
    <w:tmpl w:val="4AAE4DE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D64C13"/>
    <w:multiLevelType w:val="hybridMultilevel"/>
    <w:tmpl w:val="43EE5ED2"/>
    <w:lvl w:ilvl="0" w:tplc="E1A057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C1AC7"/>
    <w:multiLevelType w:val="hybridMultilevel"/>
    <w:tmpl w:val="E76E279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B5A0A1A"/>
    <w:multiLevelType w:val="hybridMultilevel"/>
    <w:tmpl w:val="043E0056"/>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7D04649A"/>
    <w:multiLevelType w:val="hybridMultilevel"/>
    <w:tmpl w:val="9CAC0D38"/>
    <w:lvl w:ilvl="0" w:tplc="1AC66E8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2"/>
  </w:num>
  <w:num w:numId="4">
    <w:abstractNumId w:val="13"/>
  </w:num>
  <w:num w:numId="5">
    <w:abstractNumId w:val="7"/>
  </w:num>
  <w:num w:numId="6">
    <w:abstractNumId w:val="15"/>
  </w:num>
  <w:num w:numId="7">
    <w:abstractNumId w:val="19"/>
  </w:num>
  <w:num w:numId="8">
    <w:abstractNumId w:val="8"/>
  </w:num>
  <w:num w:numId="9">
    <w:abstractNumId w:val="6"/>
  </w:num>
  <w:num w:numId="10">
    <w:abstractNumId w:val="3"/>
  </w:num>
  <w:num w:numId="11">
    <w:abstractNumId w:val="2"/>
  </w:num>
  <w:num w:numId="12">
    <w:abstractNumId w:val="1"/>
  </w:num>
  <w:num w:numId="13">
    <w:abstractNumId w:val="17"/>
  </w:num>
  <w:num w:numId="14">
    <w:abstractNumId w:val="14"/>
  </w:num>
  <w:num w:numId="15">
    <w:abstractNumId w:val="11"/>
  </w:num>
  <w:num w:numId="16">
    <w:abstractNumId w:val="20"/>
  </w:num>
  <w:num w:numId="17">
    <w:abstractNumId w:val="5"/>
  </w:num>
  <w:num w:numId="18">
    <w:abstractNumId w:val="24"/>
  </w:num>
  <w:num w:numId="19">
    <w:abstractNumId w:val="21"/>
  </w:num>
  <w:num w:numId="20">
    <w:abstractNumId w:val="18"/>
  </w:num>
  <w:num w:numId="21">
    <w:abstractNumId w:val="10"/>
  </w:num>
  <w:num w:numId="22">
    <w:abstractNumId w:val="23"/>
  </w:num>
  <w:num w:numId="23">
    <w:abstractNumId w:val="9"/>
  </w:num>
  <w:num w:numId="24">
    <w:abstractNumId w:val="0"/>
  </w:num>
  <w:num w:numId="2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4FE"/>
    <w:rsid w:val="000006E1"/>
    <w:rsid w:val="00001197"/>
    <w:rsid w:val="0000255E"/>
    <w:rsid w:val="00002A37"/>
    <w:rsid w:val="00003F8D"/>
    <w:rsid w:val="00006446"/>
    <w:rsid w:val="00006896"/>
    <w:rsid w:val="00006B58"/>
    <w:rsid w:val="00007CDC"/>
    <w:rsid w:val="00011B28"/>
    <w:rsid w:val="00015D15"/>
    <w:rsid w:val="000208A4"/>
    <w:rsid w:val="000229BE"/>
    <w:rsid w:val="0002564D"/>
    <w:rsid w:val="00025ECA"/>
    <w:rsid w:val="00027939"/>
    <w:rsid w:val="000325B8"/>
    <w:rsid w:val="00032E75"/>
    <w:rsid w:val="00034C15"/>
    <w:rsid w:val="00036BA1"/>
    <w:rsid w:val="00041493"/>
    <w:rsid w:val="000422E2"/>
    <w:rsid w:val="00042F22"/>
    <w:rsid w:val="000444EF"/>
    <w:rsid w:val="00052A07"/>
    <w:rsid w:val="000534E3"/>
    <w:rsid w:val="00053976"/>
    <w:rsid w:val="0005606A"/>
    <w:rsid w:val="00057117"/>
    <w:rsid w:val="000616E7"/>
    <w:rsid w:val="00063CAB"/>
    <w:rsid w:val="0006487E"/>
    <w:rsid w:val="00064BEA"/>
    <w:rsid w:val="00065E1A"/>
    <w:rsid w:val="00067548"/>
    <w:rsid w:val="0007268F"/>
    <w:rsid w:val="00072C8A"/>
    <w:rsid w:val="00077E5F"/>
    <w:rsid w:val="0008036A"/>
    <w:rsid w:val="00081AE6"/>
    <w:rsid w:val="000855EB"/>
    <w:rsid w:val="00085B52"/>
    <w:rsid w:val="00086571"/>
    <w:rsid w:val="000866F2"/>
    <w:rsid w:val="0008722E"/>
    <w:rsid w:val="0009009F"/>
    <w:rsid w:val="00091557"/>
    <w:rsid w:val="000924C1"/>
    <w:rsid w:val="000924F0"/>
    <w:rsid w:val="00093474"/>
    <w:rsid w:val="0009510F"/>
    <w:rsid w:val="000A1B7B"/>
    <w:rsid w:val="000A1E24"/>
    <w:rsid w:val="000A21B6"/>
    <w:rsid w:val="000A56F2"/>
    <w:rsid w:val="000A632E"/>
    <w:rsid w:val="000B2719"/>
    <w:rsid w:val="000B3A8F"/>
    <w:rsid w:val="000B4AB9"/>
    <w:rsid w:val="000B52A1"/>
    <w:rsid w:val="000B58C3"/>
    <w:rsid w:val="000B5EF8"/>
    <w:rsid w:val="000B61E9"/>
    <w:rsid w:val="000C165A"/>
    <w:rsid w:val="000C2E19"/>
    <w:rsid w:val="000C3323"/>
    <w:rsid w:val="000D0D07"/>
    <w:rsid w:val="000D2D8E"/>
    <w:rsid w:val="000D39E5"/>
    <w:rsid w:val="000D3F62"/>
    <w:rsid w:val="000D4797"/>
    <w:rsid w:val="000D78FD"/>
    <w:rsid w:val="000E0527"/>
    <w:rsid w:val="000E1E92"/>
    <w:rsid w:val="000F06D6"/>
    <w:rsid w:val="000F0EB1"/>
    <w:rsid w:val="000F1106"/>
    <w:rsid w:val="000F3BE9"/>
    <w:rsid w:val="000F3F6C"/>
    <w:rsid w:val="000F65A1"/>
    <w:rsid w:val="000F6DF3"/>
    <w:rsid w:val="001005FF"/>
    <w:rsid w:val="001062FB"/>
    <w:rsid w:val="001063E6"/>
    <w:rsid w:val="00106DB6"/>
    <w:rsid w:val="00113CF4"/>
    <w:rsid w:val="001153EA"/>
    <w:rsid w:val="00115643"/>
    <w:rsid w:val="00116765"/>
    <w:rsid w:val="001219F5"/>
    <w:rsid w:val="00121A20"/>
    <w:rsid w:val="00122F2E"/>
    <w:rsid w:val="0012377F"/>
    <w:rsid w:val="00124314"/>
    <w:rsid w:val="001247EB"/>
    <w:rsid w:val="00124D06"/>
    <w:rsid w:val="00126B4A"/>
    <w:rsid w:val="00132FD0"/>
    <w:rsid w:val="001344C0"/>
    <w:rsid w:val="001346FA"/>
    <w:rsid w:val="00135252"/>
    <w:rsid w:val="00137AB5"/>
    <w:rsid w:val="00137F0B"/>
    <w:rsid w:val="00151E23"/>
    <w:rsid w:val="001526E0"/>
    <w:rsid w:val="00153243"/>
    <w:rsid w:val="001551B5"/>
    <w:rsid w:val="001643A8"/>
    <w:rsid w:val="001659C1"/>
    <w:rsid w:val="00166D30"/>
    <w:rsid w:val="001708D0"/>
    <w:rsid w:val="00173A8E"/>
    <w:rsid w:val="00177795"/>
    <w:rsid w:val="0018143F"/>
    <w:rsid w:val="00184F67"/>
    <w:rsid w:val="00187DEC"/>
    <w:rsid w:val="00190AC1"/>
    <w:rsid w:val="0019341A"/>
    <w:rsid w:val="0019498B"/>
    <w:rsid w:val="0019630B"/>
    <w:rsid w:val="00197DF9"/>
    <w:rsid w:val="001A0736"/>
    <w:rsid w:val="001A1987"/>
    <w:rsid w:val="001A2564"/>
    <w:rsid w:val="001A6173"/>
    <w:rsid w:val="001A6939"/>
    <w:rsid w:val="001A6CBA"/>
    <w:rsid w:val="001A6D04"/>
    <w:rsid w:val="001B0D97"/>
    <w:rsid w:val="001B5A5D"/>
    <w:rsid w:val="001C1CE5"/>
    <w:rsid w:val="001C2190"/>
    <w:rsid w:val="001C3D2A"/>
    <w:rsid w:val="001C4E4C"/>
    <w:rsid w:val="001C6495"/>
    <w:rsid w:val="001C690E"/>
    <w:rsid w:val="001D31A6"/>
    <w:rsid w:val="001D51BA"/>
    <w:rsid w:val="001D56C0"/>
    <w:rsid w:val="001D6342"/>
    <w:rsid w:val="001D6D53"/>
    <w:rsid w:val="001E58E2"/>
    <w:rsid w:val="001E7AED"/>
    <w:rsid w:val="001F3916"/>
    <w:rsid w:val="001F54C5"/>
    <w:rsid w:val="001F5C96"/>
    <w:rsid w:val="001F662C"/>
    <w:rsid w:val="001F7074"/>
    <w:rsid w:val="00200490"/>
    <w:rsid w:val="00201782"/>
    <w:rsid w:val="00201F3A"/>
    <w:rsid w:val="00203F96"/>
    <w:rsid w:val="002069B2"/>
    <w:rsid w:val="00207EA4"/>
    <w:rsid w:val="00207FA3"/>
    <w:rsid w:val="00210B6B"/>
    <w:rsid w:val="0021486A"/>
    <w:rsid w:val="00214DA8"/>
    <w:rsid w:val="00215423"/>
    <w:rsid w:val="002158FA"/>
    <w:rsid w:val="00220600"/>
    <w:rsid w:val="002224DB"/>
    <w:rsid w:val="00223577"/>
    <w:rsid w:val="00223FCB"/>
    <w:rsid w:val="002252C3"/>
    <w:rsid w:val="00225C54"/>
    <w:rsid w:val="00230765"/>
    <w:rsid w:val="00230A6A"/>
    <w:rsid w:val="002319E4"/>
    <w:rsid w:val="00235632"/>
    <w:rsid w:val="00235872"/>
    <w:rsid w:val="00241559"/>
    <w:rsid w:val="002435B3"/>
    <w:rsid w:val="00245522"/>
    <w:rsid w:val="002458EB"/>
    <w:rsid w:val="002500C8"/>
    <w:rsid w:val="00254C14"/>
    <w:rsid w:val="00257543"/>
    <w:rsid w:val="002617E7"/>
    <w:rsid w:val="00261FC8"/>
    <w:rsid w:val="00264228"/>
    <w:rsid w:val="00264334"/>
    <w:rsid w:val="0026473E"/>
    <w:rsid w:val="00266214"/>
    <w:rsid w:val="00267C83"/>
    <w:rsid w:val="002704B4"/>
    <w:rsid w:val="0027144F"/>
    <w:rsid w:val="002714FE"/>
    <w:rsid w:val="00271563"/>
    <w:rsid w:val="00271F3A"/>
    <w:rsid w:val="00273278"/>
    <w:rsid w:val="002737F4"/>
    <w:rsid w:val="00274D44"/>
    <w:rsid w:val="002805F5"/>
    <w:rsid w:val="00280751"/>
    <w:rsid w:val="00282384"/>
    <w:rsid w:val="0028280A"/>
    <w:rsid w:val="00286ACD"/>
    <w:rsid w:val="00287838"/>
    <w:rsid w:val="002907B5"/>
    <w:rsid w:val="00292EB7"/>
    <w:rsid w:val="00296227"/>
    <w:rsid w:val="00296F44"/>
    <w:rsid w:val="0029777D"/>
    <w:rsid w:val="002A055E"/>
    <w:rsid w:val="002A0A36"/>
    <w:rsid w:val="002A1D4E"/>
    <w:rsid w:val="002A2869"/>
    <w:rsid w:val="002A3284"/>
    <w:rsid w:val="002B0E64"/>
    <w:rsid w:val="002B1756"/>
    <w:rsid w:val="002B24D6"/>
    <w:rsid w:val="002C41E6"/>
    <w:rsid w:val="002D071A"/>
    <w:rsid w:val="002D1476"/>
    <w:rsid w:val="002D34B2"/>
    <w:rsid w:val="002D3F9D"/>
    <w:rsid w:val="002D7637"/>
    <w:rsid w:val="002E17F2"/>
    <w:rsid w:val="002E7CAE"/>
    <w:rsid w:val="002F2771"/>
    <w:rsid w:val="002F2AE8"/>
    <w:rsid w:val="002F37A9"/>
    <w:rsid w:val="00300AC8"/>
    <w:rsid w:val="00300EB6"/>
    <w:rsid w:val="00301CE6"/>
    <w:rsid w:val="0030256B"/>
    <w:rsid w:val="0030407F"/>
    <w:rsid w:val="0030501F"/>
    <w:rsid w:val="00307BA1"/>
    <w:rsid w:val="00307E92"/>
    <w:rsid w:val="00311702"/>
    <w:rsid w:val="00311E82"/>
    <w:rsid w:val="00313FD6"/>
    <w:rsid w:val="003143BD"/>
    <w:rsid w:val="00317B01"/>
    <w:rsid w:val="00317D63"/>
    <w:rsid w:val="003203ED"/>
    <w:rsid w:val="00322C9F"/>
    <w:rsid w:val="00322FCA"/>
    <w:rsid w:val="00323DD6"/>
    <w:rsid w:val="00324D23"/>
    <w:rsid w:val="0032509C"/>
    <w:rsid w:val="00330AF0"/>
    <w:rsid w:val="00330C7E"/>
    <w:rsid w:val="00331751"/>
    <w:rsid w:val="00333B8C"/>
    <w:rsid w:val="00334579"/>
    <w:rsid w:val="00335858"/>
    <w:rsid w:val="00336BDA"/>
    <w:rsid w:val="0033737C"/>
    <w:rsid w:val="00342BD7"/>
    <w:rsid w:val="00343A07"/>
    <w:rsid w:val="00346DB5"/>
    <w:rsid w:val="003474BC"/>
    <w:rsid w:val="003477B1"/>
    <w:rsid w:val="00350AC2"/>
    <w:rsid w:val="0035482C"/>
    <w:rsid w:val="00357380"/>
    <w:rsid w:val="003602D9"/>
    <w:rsid w:val="003604CE"/>
    <w:rsid w:val="00370E47"/>
    <w:rsid w:val="00371D5C"/>
    <w:rsid w:val="003742AC"/>
    <w:rsid w:val="00377CE1"/>
    <w:rsid w:val="00377F41"/>
    <w:rsid w:val="00380157"/>
    <w:rsid w:val="0038016D"/>
    <w:rsid w:val="00384009"/>
    <w:rsid w:val="00385BF0"/>
    <w:rsid w:val="003862F7"/>
    <w:rsid w:val="00386EAC"/>
    <w:rsid w:val="003939FF"/>
    <w:rsid w:val="0039779E"/>
    <w:rsid w:val="003A127C"/>
    <w:rsid w:val="003A12E8"/>
    <w:rsid w:val="003A2208"/>
    <w:rsid w:val="003A2223"/>
    <w:rsid w:val="003A2A0F"/>
    <w:rsid w:val="003A45A1"/>
    <w:rsid w:val="003A5B0A"/>
    <w:rsid w:val="003A6424"/>
    <w:rsid w:val="003A6BAC"/>
    <w:rsid w:val="003A7EF3"/>
    <w:rsid w:val="003B159C"/>
    <w:rsid w:val="003B369F"/>
    <w:rsid w:val="003B36A3"/>
    <w:rsid w:val="003B4820"/>
    <w:rsid w:val="003B7FE5"/>
    <w:rsid w:val="003C11C8"/>
    <w:rsid w:val="003C2702"/>
    <w:rsid w:val="003C7806"/>
    <w:rsid w:val="003D109F"/>
    <w:rsid w:val="003D2478"/>
    <w:rsid w:val="003D2FC4"/>
    <w:rsid w:val="003D3C45"/>
    <w:rsid w:val="003D5B1F"/>
    <w:rsid w:val="003E15FA"/>
    <w:rsid w:val="003E55E4"/>
    <w:rsid w:val="003E633D"/>
    <w:rsid w:val="003E74E3"/>
    <w:rsid w:val="003E75BA"/>
    <w:rsid w:val="003F05C7"/>
    <w:rsid w:val="003F2CD4"/>
    <w:rsid w:val="003F6B37"/>
    <w:rsid w:val="003F6BBE"/>
    <w:rsid w:val="003F7E6D"/>
    <w:rsid w:val="004000E8"/>
    <w:rsid w:val="00402E2B"/>
    <w:rsid w:val="0040512B"/>
    <w:rsid w:val="00405CA5"/>
    <w:rsid w:val="00407CD3"/>
    <w:rsid w:val="00410134"/>
    <w:rsid w:val="00410B72"/>
    <w:rsid w:val="00410F18"/>
    <w:rsid w:val="0041263E"/>
    <w:rsid w:val="00413AAC"/>
    <w:rsid w:val="00421105"/>
    <w:rsid w:val="004242F4"/>
    <w:rsid w:val="00426D93"/>
    <w:rsid w:val="00427248"/>
    <w:rsid w:val="00434B50"/>
    <w:rsid w:val="00437447"/>
    <w:rsid w:val="004375CA"/>
    <w:rsid w:val="00440B16"/>
    <w:rsid w:val="00441A92"/>
    <w:rsid w:val="00444F21"/>
    <w:rsid w:val="00444F56"/>
    <w:rsid w:val="00445A06"/>
    <w:rsid w:val="00446488"/>
    <w:rsid w:val="00447EF3"/>
    <w:rsid w:val="004517AA"/>
    <w:rsid w:val="00451811"/>
    <w:rsid w:val="00451A6C"/>
    <w:rsid w:val="00452CAC"/>
    <w:rsid w:val="004537C9"/>
    <w:rsid w:val="00457565"/>
    <w:rsid w:val="00457B71"/>
    <w:rsid w:val="00461D76"/>
    <w:rsid w:val="00462D9D"/>
    <w:rsid w:val="00464ADE"/>
    <w:rsid w:val="00465F3A"/>
    <w:rsid w:val="004669E2"/>
    <w:rsid w:val="0046719F"/>
    <w:rsid w:val="00470C31"/>
    <w:rsid w:val="004731F6"/>
    <w:rsid w:val="004734D0"/>
    <w:rsid w:val="0047556B"/>
    <w:rsid w:val="00477768"/>
    <w:rsid w:val="00482FC1"/>
    <w:rsid w:val="00486175"/>
    <w:rsid w:val="00492BC5"/>
    <w:rsid w:val="004964F1"/>
    <w:rsid w:val="004A16BC"/>
    <w:rsid w:val="004A2B94"/>
    <w:rsid w:val="004A3B2B"/>
    <w:rsid w:val="004A483C"/>
    <w:rsid w:val="004B0E03"/>
    <w:rsid w:val="004B222E"/>
    <w:rsid w:val="004B6378"/>
    <w:rsid w:val="004B7C0C"/>
    <w:rsid w:val="004C360F"/>
    <w:rsid w:val="004C3898"/>
    <w:rsid w:val="004C6517"/>
    <w:rsid w:val="004D16D8"/>
    <w:rsid w:val="004D1EE1"/>
    <w:rsid w:val="004D36B1"/>
    <w:rsid w:val="004D755B"/>
    <w:rsid w:val="004D7EBD"/>
    <w:rsid w:val="004E2680"/>
    <w:rsid w:val="004E28F9"/>
    <w:rsid w:val="004E462E"/>
    <w:rsid w:val="004E56DC"/>
    <w:rsid w:val="004E76F4"/>
    <w:rsid w:val="004F0B4E"/>
    <w:rsid w:val="004F0B6C"/>
    <w:rsid w:val="004F2078"/>
    <w:rsid w:val="004F2D67"/>
    <w:rsid w:val="004F4DA3"/>
    <w:rsid w:val="004F5D5F"/>
    <w:rsid w:val="004F6F08"/>
    <w:rsid w:val="00502773"/>
    <w:rsid w:val="00506557"/>
    <w:rsid w:val="0050677A"/>
    <w:rsid w:val="005108D8"/>
    <w:rsid w:val="00511282"/>
    <w:rsid w:val="005116F9"/>
    <w:rsid w:val="005153A7"/>
    <w:rsid w:val="00516B28"/>
    <w:rsid w:val="00517F17"/>
    <w:rsid w:val="005219CF"/>
    <w:rsid w:val="00522AAF"/>
    <w:rsid w:val="00531534"/>
    <w:rsid w:val="00531933"/>
    <w:rsid w:val="00533837"/>
    <w:rsid w:val="005338D0"/>
    <w:rsid w:val="00534B59"/>
    <w:rsid w:val="00536759"/>
    <w:rsid w:val="00537C62"/>
    <w:rsid w:val="00543655"/>
    <w:rsid w:val="00546970"/>
    <w:rsid w:val="00554E19"/>
    <w:rsid w:val="00560E7B"/>
    <w:rsid w:val="0056121F"/>
    <w:rsid w:val="005635B1"/>
    <w:rsid w:val="00572505"/>
    <w:rsid w:val="005749CE"/>
    <w:rsid w:val="005754E3"/>
    <w:rsid w:val="00580202"/>
    <w:rsid w:val="00582809"/>
    <w:rsid w:val="00584152"/>
    <w:rsid w:val="0058763A"/>
    <w:rsid w:val="0058798C"/>
    <w:rsid w:val="005900FA"/>
    <w:rsid w:val="0059275C"/>
    <w:rsid w:val="005935A4"/>
    <w:rsid w:val="005948C2"/>
    <w:rsid w:val="0059494A"/>
    <w:rsid w:val="00595DCA"/>
    <w:rsid w:val="0059779B"/>
    <w:rsid w:val="005A209A"/>
    <w:rsid w:val="005A4EAD"/>
    <w:rsid w:val="005A662D"/>
    <w:rsid w:val="005B0606"/>
    <w:rsid w:val="005B35D7"/>
    <w:rsid w:val="005B3625"/>
    <w:rsid w:val="005B392A"/>
    <w:rsid w:val="005B3AA3"/>
    <w:rsid w:val="005B4C44"/>
    <w:rsid w:val="005B6F83"/>
    <w:rsid w:val="005C74FB"/>
    <w:rsid w:val="005D0784"/>
    <w:rsid w:val="005D1602"/>
    <w:rsid w:val="005D5A42"/>
    <w:rsid w:val="005E1A95"/>
    <w:rsid w:val="005E385F"/>
    <w:rsid w:val="005E52F5"/>
    <w:rsid w:val="005E5B81"/>
    <w:rsid w:val="005E6A45"/>
    <w:rsid w:val="005E6D4D"/>
    <w:rsid w:val="005F0C93"/>
    <w:rsid w:val="005F2CB1"/>
    <w:rsid w:val="005F3025"/>
    <w:rsid w:val="005F4D03"/>
    <w:rsid w:val="005F618C"/>
    <w:rsid w:val="005F70BD"/>
    <w:rsid w:val="0060283C"/>
    <w:rsid w:val="00604F14"/>
    <w:rsid w:val="00605F62"/>
    <w:rsid w:val="00611B83"/>
    <w:rsid w:val="00613257"/>
    <w:rsid w:val="00620319"/>
    <w:rsid w:val="00620A71"/>
    <w:rsid w:val="00620D80"/>
    <w:rsid w:val="006234A6"/>
    <w:rsid w:val="00624D23"/>
    <w:rsid w:val="00626EAF"/>
    <w:rsid w:val="00630001"/>
    <w:rsid w:val="00630F7D"/>
    <w:rsid w:val="006311B3"/>
    <w:rsid w:val="0063284C"/>
    <w:rsid w:val="00636398"/>
    <w:rsid w:val="006368D3"/>
    <w:rsid w:val="006377EC"/>
    <w:rsid w:val="0064151F"/>
    <w:rsid w:val="00641533"/>
    <w:rsid w:val="0064208D"/>
    <w:rsid w:val="00643475"/>
    <w:rsid w:val="0064396A"/>
    <w:rsid w:val="0064624E"/>
    <w:rsid w:val="00646540"/>
    <w:rsid w:val="00647BF0"/>
    <w:rsid w:val="00650AB9"/>
    <w:rsid w:val="00653637"/>
    <w:rsid w:val="00654622"/>
    <w:rsid w:val="00655733"/>
    <w:rsid w:val="006557D3"/>
    <w:rsid w:val="00655ACD"/>
    <w:rsid w:val="00656A92"/>
    <w:rsid w:val="00656DDE"/>
    <w:rsid w:val="0066011D"/>
    <w:rsid w:val="006607C0"/>
    <w:rsid w:val="006613A6"/>
    <w:rsid w:val="00661A79"/>
    <w:rsid w:val="006627A2"/>
    <w:rsid w:val="006634E6"/>
    <w:rsid w:val="00664704"/>
    <w:rsid w:val="006655EE"/>
    <w:rsid w:val="00667EE7"/>
    <w:rsid w:val="00670922"/>
    <w:rsid w:val="00670BE1"/>
    <w:rsid w:val="0067218F"/>
    <w:rsid w:val="006738CB"/>
    <w:rsid w:val="006741F2"/>
    <w:rsid w:val="00674CC3"/>
    <w:rsid w:val="00675A09"/>
    <w:rsid w:val="00675C72"/>
    <w:rsid w:val="006765CB"/>
    <w:rsid w:val="006771F9"/>
    <w:rsid w:val="006776D7"/>
    <w:rsid w:val="00681003"/>
    <w:rsid w:val="006817C9"/>
    <w:rsid w:val="00683ECE"/>
    <w:rsid w:val="00685447"/>
    <w:rsid w:val="00690042"/>
    <w:rsid w:val="006956EF"/>
    <w:rsid w:val="006958D3"/>
    <w:rsid w:val="00695FC2"/>
    <w:rsid w:val="00696949"/>
    <w:rsid w:val="00697052"/>
    <w:rsid w:val="00697C63"/>
    <w:rsid w:val="006A1F18"/>
    <w:rsid w:val="006A358F"/>
    <w:rsid w:val="006A46FB"/>
    <w:rsid w:val="006A5E28"/>
    <w:rsid w:val="006A697B"/>
    <w:rsid w:val="006A7AFF"/>
    <w:rsid w:val="006A7CF9"/>
    <w:rsid w:val="006B1816"/>
    <w:rsid w:val="006B2099"/>
    <w:rsid w:val="006B50CF"/>
    <w:rsid w:val="006C03B8"/>
    <w:rsid w:val="006C2816"/>
    <w:rsid w:val="006C5953"/>
    <w:rsid w:val="006C5EC9"/>
    <w:rsid w:val="006C6059"/>
    <w:rsid w:val="006C7522"/>
    <w:rsid w:val="006D6F08"/>
    <w:rsid w:val="006E062C"/>
    <w:rsid w:val="006E28B7"/>
    <w:rsid w:val="006E3310"/>
    <w:rsid w:val="006E3998"/>
    <w:rsid w:val="006E4E39"/>
    <w:rsid w:val="006E565E"/>
    <w:rsid w:val="006E673D"/>
    <w:rsid w:val="006E7C1F"/>
    <w:rsid w:val="006E7D3B"/>
    <w:rsid w:val="006F1B70"/>
    <w:rsid w:val="006F341D"/>
    <w:rsid w:val="006F3CDE"/>
    <w:rsid w:val="006F58D4"/>
    <w:rsid w:val="007015A1"/>
    <w:rsid w:val="0070346E"/>
    <w:rsid w:val="00704EDB"/>
    <w:rsid w:val="0070537F"/>
    <w:rsid w:val="00706101"/>
    <w:rsid w:val="0070702B"/>
    <w:rsid w:val="00707072"/>
    <w:rsid w:val="00707D61"/>
    <w:rsid w:val="0071166B"/>
    <w:rsid w:val="00712287"/>
    <w:rsid w:val="00712772"/>
    <w:rsid w:val="00714604"/>
    <w:rsid w:val="007146AF"/>
    <w:rsid w:val="007148D3"/>
    <w:rsid w:val="0071506D"/>
    <w:rsid w:val="00715B9A"/>
    <w:rsid w:val="00716538"/>
    <w:rsid w:val="00721593"/>
    <w:rsid w:val="00723A79"/>
    <w:rsid w:val="00726EA6"/>
    <w:rsid w:val="00727208"/>
    <w:rsid w:val="00727680"/>
    <w:rsid w:val="007336CA"/>
    <w:rsid w:val="007348B1"/>
    <w:rsid w:val="007349C0"/>
    <w:rsid w:val="00734B23"/>
    <w:rsid w:val="007362A6"/>
    <w:rsid w:val="00736D7D"/>
    <w:rsid w:val="00740E58"/>
    <w:rsid w:val="0074405B"/>
    <w:rsid w:val="007445A0"/>
    <w:rsid w:val="0074524B"/>
    <w:rsid w:val="00747D8B"/>
    <w:rsid w:val="00751228"/>
    <w:rsid w:val="00751C97"/>
    <w:rsid w:val="00752BFA"/>
    <w:rsid w:val="0075477B"/>
    <w:rsid w:val="007571E1"/>
    <w:rsid w:val="007604B2"/>
    <w:rsid w:val="007622CE"/>
    <w:rsid w:val="00765281"/>
    <w:rsid w:val="007657A9"/>
    <w:rsid w:val="00766BAD"/>
    <w:rsid w:val="00772E3F"/>
    <w:rsid w:val="007730BD"/>
    <w:rsid w:val="007740A4"/>
    <w:rsid w:val="007755F2"/>
    <w:rsid w:val="00776254"/>
    <w:rsid w:val="00776971"/>
    <w:rsid w:val="00780C6D"/>
    <w:rsid w:val="0078177E"/>
    <w:rsid w:val="0078304C"/>
    <w:rsid w:val="00783673"/>
    <w:rsid w:val="00785490"/>
    <w:rsid w:val="00786739"/>
    <w:rsid w:val="00790994"/>
    <w:rsid w:val="007925EA"/>
    <w:rsid w:val="00793CD8"/>
    <w:rsid w:val="007951ED"/>
    <w:rsid w:val="00795C92"/>
    <w:rsid w:val="00796231"/>
    <w:rsid w:val="007A1CB3"/>
    <w:rsid w:val="007A306F"/>
    <w:rsid w:val="007A43A6"/>
    <w:rsid w:val="007A4975"/>
    <w:rsid w:val="007A58A6"/>
    <w:rsid w:val="007A650C"/>
    <w:rsid w:val="007A7228"/>
    <w:rsid w:val="007B3D2D"/>
    <w:rsid w:val="007B50AE"/>
    <w:rsid w:val="007B51DF"/>
    <w:rsid w:val="007C02E2"/>
    <w:rsid w:val="007C0517"/>
    <w:rsid w:val="007C05DD"/>
    <w:rsid w:val="007C0869"/>
    <w:rsid w:val="007C272A"/>
    <w:rsid w:val="007C3D18"/>
    <w:rsid w:val="007C60BF"/>
    <w:rsid w:val="007C6A07"/>
    <w:rsid w:val="007C75A1"/>
    <w:rsid w:val="007C77A5"/>
    <w:rsid w:val="007C7874"/>
    <w:rsid w:val="007D04E5"/>
    <w:rsid w:val="007D12E3"/>
    <w:rsid w:val="007D1C00"/>
    <w:rsid w:val="007D5901"/>
    <w:rsid w:val="007D7526"/>
    <w:rsid w:val="007D776C"/>
    <w:rsid w:val="007E24AB"/>
    <w:rsid w:val="007E4610"/>
    <w:rsid w:val="007E4715"/>
    <w:rsid w:val="007E4F41"/>
    <w:rsid w:val="007E505B"/>
    <w:rsid w:val="007E7091"/>
    <w:rsid w:val="00802E21"/>
    <w:rsid w:val="00803FAE"/>
    <w:rsid w:val="008041A9"/>
    <w:rsid w:val="0080605F"/>
    <w:rsid w:val="00807786"/>
    <w:rsid w:val="00811FCB"/>
    <w:rsid w:val="00813F7B"/>
    <w:rsid w:val="00814DBA"/>
    <w:rsid w:val="008158D6"/>
    <w:rsid w:val="00815A32"/>
    <w:rsid w:val="00817196"/>
    <w:rsid w:val="00817EDE"/>
    <w:rsid w:val="00822440"/>
    <w:rsid w:val="008235DB"/>
    <w:rsid w:val="00824AB4"/>
    <w:rsid w:val="00825B16"/>
    <w:rsid w:val="00825C42"/>
    <w:rsid w:val="00825D25"/>
    <w:rsid w:val="00827D6F"/>
    <w:rsid w:val="0083061C"/>
    <w:rsid w:val="008376AC"/>
    <w:rsid w:val="008444E8"/>
    <w:rsid w:val="00844E80"/>
    <w:rsid w:val="00846868"/>
    <w:rsid w:val="00846FE7"/>
    <w:rsid w:val="00850CEC"/>
    <w:rsid w:val="00856911"/>
    <w:rsid w:val="00861FC6"/>
    <w:rsid w:val="0086461F"/>
    <w:rsid w:val="008677FD"/>
    <w:rsid w:val="008706D4"/>
    <w:rsid w:val="00870F8A"/>
    <w:rsid w:val="008719A4"/>
    <w:rsid w:val="00871D23"/>
    <w:rsid w:val="00872923"/>
    <w:rsid w:val="00873039"/>
    <w:rsid w:val="00874312"/>
    <w:rsid w:val="0087437C"/>
    <w:rsid w:val="00875CD7"/>
    <w:rsid w:val="00876B4D"/>
    <w:rsid w:val="008775B2"/>
    <w:rsid w:val="00877F18"/>
    <w:rsid w:val="00882661"/>
    <w:rsid w:val="008834AA"/>
    <w:rsid w:val="00890638"/>
    <w:rsid w:val="0089127E"/>
    <w:rsid w:val="0089245B"/>
    <w:rsid w:val="00894A88"/>
    <w:rsid w:val="00894C2A"/>
    <w:rsid w:val="00895386"/>
    <w:rsid w:val="008A06C3"/>
    <w:rsid w:val="008A21FF"/>
    <w:rsid w:val="008A2CE2"/>
    <w:rsid w:val="008A30AC"/>
    <w:rsid w:val="008A44B8"/>
    <w:rsid w:val="008A51A8"/>
    <w:rsid w:val="008A54C7"/>
    <w:rsid w:val="008A77D8"/>
    <w:rsid w:val="008B0483"/>
    <w:rsid w:val="008B120C"/>
    <w:rsid w:val="008B51A0"/>
    <w:rsid w:val="008B592A"/>
    <w:rsid w:val="008B7A42"/>
    <w:rsid w:val="008B7B5C"/>
    <w:rsid w:val="008C0C99"/>
    <w:rsid w:val="008C1088"/>
    <w:rsid w:val="008C2017"/>
    <w:rsid w:val="008C4958"/>
    <w:rsid w:val="008C4BAA"/>
    <w:rsid w:val="008C6AE8"/>
    <w:rsid w:val="008C7573"/>
    <w:rsid w:val="008D34F1"/>
    <w:rsid w:val="008D39D8"/>
    <w:rsid w:val="008D3F11"/>
    <w:rsid w:val="008D6D1A"/>
    <w:rsid w:val="008D6FC9"/>
    <w:rsid w:val="008E065E"/>
    <w:rsid w:val="008E0927"/>
    <w:rsid w:val="008E1909"/>
    <w:rsid w:val="008E1DE5"/>
    <w:rsid w:val="008F1EAB"/>
    <w:rsid w:val="008F2F9B"/>
    <w:rsid w:val="008F33DC"/>
    <w:rsid w:val="008F477F"/>
    <w:rsid w:val="008F7521"/>
    <w:rsid w:val="008F7C20"/>
    <w:rsid w:val="009003F8"/>
    <w:rsid w:val="0090209B"/>
    <w:rsid w:val="00902350"/>
    <w:rsid w:val="00902447"/>
    <w:rsid w:val="0090336B"/>
    <w:rsid w:val="009053AA"/>
    <w:rsid w:val="00906939"/>
    <w:rsid w:val="00910B7D"/>
    <w:rsid w:val="00911DFB"/>
    <w:rsid w:val="009139D9"/>
    <w:rsid w:val="00914AD8"/>
    <w:rsid w:val="00916079"/>
    <w:rsid w:val="00917CE9"/>
    <w:rsid w:val="00920BF2"/>
    <w:rsid w:val="00922010"/>
    <w:rsid w:val="00931BD9"/>
    <w:rsid w:val="00934F45"/>
    <w:rsid w:val="009368F3"/>
    <w:rsid w:val="00941636"/>
    <w:rsid w:val="00941C99"/>
    <w:rsid w:val="00943742"/>
    <w:rsid w:val="00945C05"/>
    <w:rsid w:val="00946945"/>
    <w:rsid w:val="00947713"/>
    <w:rsid w:val="00950DE7"/>
    <w:rsid w:val="0095198F"/>
    <w:rsid w:val="00953920"/>
    <w:rsid w:val="00953D47"/>
    <w:rsid w:val="0095681E"/>
    <w:rsid w:val="009572D4"/>
    <w:rsid w:val="009579D2"/>
    <w:rsid w:val="00961921"/>
    <w:rsid w:val="00962AC3"/>
    <w:rsid w:val="0096430A"/>
    <w:rsid w:val="0096554B"/>
    <w:rsid w:val="0096584A"/>
    <w:rsid w:val="00971ABE"/>
    <w:rsid w:val="00971F08"/>
    <w:rsid w:val="0097288E"/>
    <w:rsid w:val="009757FE"/>
    <w:rsid w:val="0097603D"/>
    <w:rsid w:val="00976949"/>
    <w:rsid w:val="00980477"/>
    <w:rsid w:val="009808EE"/>
    <w:rsid w:val="00981789"/>
    <w:rsid w:val="00983C38"/>
    <w:rsid w:val="00985253"/>
    <w:rsid w:val="009853B3"/>
    <w:rsid w:val="00990630"/>
    <w:rsid w:val="00991761"/>
    <w:rsid w:val="00994DCA"/>
    <w:rsid w:val="009960EC"/>
    <w:rsid w:val="009970DD"/>
    <w:rsid w:val="0099760E"/>
    <w:rsid w:val="009A0FBA"/>
    <w:rsid w:val="009A1601"/>
    <w:rsid w:val="009A462D"/>
    <w:rsid w:val="009A5CBA"/>
    <w:rsid w:val="009A71C7"/>
    <w:rsid w:val="009B1F30"/>
    <w:rsid w:val="009B3AC2"/>
    <w:rsid w:val="009B4DF4"/>
    <w:rsid w:val="009B564E"/>
    <w:rsid w:val="009B686F"/>
    <w:rsid w:val="009B7E87"/>
    <w:rsid w:val="009C1360"/>
    <w:rsid w:val="009C403E"/>
    <w:rsid w:val="009C56AB"/>
    <w:rsid w:val="009D4FF0"/>
    <w:rsid w:val="009D703C"/>
    <w:rsid w:val="009D718F"/>
    <w:rsid w:val="009E068F"/>
    <w:rsid w:val="009E14E0"/>
    <w:rsid w:val="009E2B7A"/>
    <w:rsid w:val="009E35DB"/>
    <w:rsid w:val="009E47A3"/>
    <w:rsid w:val="009F08F3"/>
    <w:rsid w:val="009F1ECE"/>
    <w:rsid w:val="009F204E"/>
    <w:rsid w:val="009F344F"/>
    <w:rsid w:val="009F36BB"/>
    <w:rsid w:val="009F4C36"/>
    <w:rsid w:val="00A048A8"/>
    <w:rsid w:val="00A04F49"/>
    <w:rsid w:val="00A06C81"/>
    <w:rsid w:val="00A07855"/>
    <w:rsid w:val="00A07884"/>
    <w:rsid w:val="00A121F4"/>
    <w:rsid w:val="00A12664"/>
    <w:rsid w:val="00A13E54"/>
    <w:rsid w:val="00A17F63"/>
    <w:rsid w:val="00A2193B"/>
    <w:rsid w:val="00A22522"/>
    <w:rsid w:val="00A2351A"/>
    <w:rsid w:val="00A264A9"/>
    <w:rsid w:val="00A27785"/>
    <w:rsid w:val="00A30187"/>
    <w:rsid w:val="00A3316C"/>
    <w:rsid w:val="00A337CF"/>
    <w:rsid w:val="00A3448A"/>
    <w:rsid w:val="00A36297"/>
    <w:rsid w:val="00A41E2B"/>
    <w:rsid w:val="00A45B74"/>
    <w:rsid w:val="00A47F72"/>
    <w:rsid w:val="00A52299"/>
    <w:rsid w:val="00A52E1D"/>
    <w:rsid w:val="00A570CD"/>
    <w:rsid w:val="00A61499"/>
    <w:rsid w:val="00A6293B"/>
    <w:rsid w:val="00A62A77"/>
    <w:rsid w:val="00A63483"/>
    <w:rsid w:val="00A657D7"/>
    <w:rsid w:val="00A65BC1"/>
    <w:rsid w:val="00A660AC"/>
    <w:rsid w:val="00A67E6C"/>
    <w:rsid w:val="00A71B99"/>
    <w:rsid w:val="00A739D0"/>
    <w:rsid w:val="00A761D4"/>
    <w:rsid w:val="00A7690A"/>
    <w:rsid w:val="00A77EC4"/>
    <w:rsid w:val="00A81434"/>
    <w:rsid w:val="00A81E19"/>
    <w:rsid w:val="00A92879"/>
    <w:rsid w:val="00A9442A"/>
    <w:rsid w:val="00AA016F"/>
    <w:rsid w:val="00AA1ED6"/>
    <w:rsid w:val="00AA3278"/>
    <w:rsid w:val="00AA3395"/>
    <w:rsid w:val="00AA405B"/>
    <w:rsid w:val="00AA51D6"/>
    <w:rsid w:val="00AB0BC8"/>
    <w:rsid w:val="00AB11CA"/>
    <w:rsid w:val="00AB14D9"/>
    <w:rsid w:val="00AB4AB8"/>
    <w:rsid w:val="00AB655E"/>
    <w:rsid w:val="00AC007F"/>
    <w:rsid w:val="00AC2ECD"/>
    <w:rsid w:val="00AC3119"/>
    <w:rsid w:val="00AC49FB"/>
    <w:rsid w:val="00AC5A10"/>
    <w:rsid w:val="00AD0AA3"/>
    <w:rsid w:val="00AD0C47"/>
    <w:rsid w:val="00AD197D"/>
    <w:rsid w:val="00AD3F94"/>
    <w:rsid w:val="00AD4A5A"/>
    <w:rsid w:val="00AE21B3"/>
    <w:rsid w:val="00AE27AC"/>
    <w:rsid w:val="00AE2918"/>
    <w:rsid w:val="00AE40E0"/>
    <w:rsid w:val="00AE4DBA"/>
    <w:rsid w:val="00AE4F07"/>
    <w:rsid w:val="00AF1C5D"/>
    <w:rsid w:val="00AF42D7"/>
    <w:rsid w:val="00AF4F13"/>
    <w:rsid w:val="00B006FE"/>
    <w:rsid w:val="00B007CB"/>
    <w:rsid w:val="00B02AA9"/>
    <w:rsid w:val="00B02FA3"/>
    <w:rsid w:val="00B040A3"/>
    <w:rsid w:val="00B05084"/>
    <w:rsid w:val="00B11266"/>
    <w:rsid w:val="00B157F9"/>
    <w:rsid w:val="00B167F1"/>
    <w:rsid w:val="00B16C87"/>
    <w:rsid w:val="00B20256"/>
    <w:rsid w:val="00B20D09"/>
    <w:rsid w:val="00B22266"/>
    <w:rsid w:val="00B2763F"/>
    <w:rsid w:val="00B27AAC"/>
    <w:rsid w:val="00B30929"/>
    <w:rsid w:val="00B35975"/>
    <w:rsid w:val="00B371BD"/>
    <w:rsid w:val="00B372AA"/>
    <w:rsid w:val="00B40445"/>
    <w:rsid w:val="00B41888"/>
    <w:rsid w:val="00B42769"/>
    <w:rsid w:val="00B42BDB"/>
    <w:rsid w:val="00B45A52"/>
    <w:rsid w:val="00B45DBC"/>
    <w:rsid w:val="00B46175"/>
    <w:rsid w:val="00B62AAA"/>
    <w:rsid w:val="00B664C7"/>
    <w:rsid w:val="00B739F6"/>
    <w:rsid w:val="00B81A6C"/>
    <w:rsid w:val="00B85DE5"/>
    <w:rsid w:val="00B900BB"/>
    <w:rsid w:val="00B90F73"/>
    <w:rsid w:val="00B926FC"/>
    <w:rsid w:val="00B93B59"/>
    <w:rsid w:val="00B9406A"/>
    <w:rsid w:val="00B95D37"/>
    <w:rsid w:val="00BA2280"/>
    <w:rsid w:val="00BA2A08"/>
    <w:rsid w:val="00BA3FB3"/>
    <w:rsid w:val="00BA56D2"/>
    <w:rsid w:val="00BA76E0"/>
    <w:rsid w:val="00BB068E"/>
    <w:rsid w:val="00BB2A25"/>
    <w:rsid w:val="00BB35B2"/>
    <w:rsid w:val="00BB51E9"/>
    <w:rsid w:val="00BB529F"/>
    <w:rsid w:val="00BC0FDC"/>
    <w:rsid w:val="00BC3053"/>
    <w:rsid w:val="00BC4D2E"/>
    <w:rsid w:val="00BC64D9"/>
    <w:rsid w:val="00BD0BE7"/>
    <w:rsid w:val="00BD14CF"/>
    <w:rsid w:val="00BD3D27"/>
    <w:rsid w:val="00BD48AC"/>
    <w:rsid w:val="00BD5F1A"/>
    <w:rsid w:val="00BD7372"/>
    <w:rsid w:val="00BE1234"/>
    <w:rsid w:val="00BE2FA6"/>
    <w:rsid w:val="00BE333F"/>
    <w:rsid w:val="00BE4686"/>
    <w:rsid w:val="00BE7406"/>
    <w:rsid w:val="00BE7603"/>
    <w:rsid w:val="00BF3279"/>
    <w:rsid w:val="00BF63BC"/>
    <w:rsid w:val="00BF7369"/>
    <w:rsid w:val="00BF74C7"/>
    <w:rsid w:val="00C015F1"/>
    <w:rsid w:val="00C01F33"/>
    <w:rsid w:val="00C02CC6"/>
    <w:rsid w:val="00C02D63"/>
    <w:rsid w:val="00C040F7"/>
    <w:rsid w:val="00C041B0"/>
    <w:rsid w:val="00C044AB"/>
    <w:rsid w:val="00C04A53"/>
    <w:rsid w:val="00C05706"/>
    <w:rsid w:val="00C05B81"/>
    <w:rsid w:val="00C070AD"/>
    <w:rsid w:val="00C07377"/>
    <w:rsid w:val="00C10478"/>
    <w:rsid w:val="00C12107"/>
    <w:rsid w:val="00C14D4B"/>
    <w:rsid w:val="00C154BB"/>
    <w:rsid w:val="00C26FAA"/>
    <w:rsid w:val="00C279B5"/>
    <w:rsid w:val="00C27C45"/>
    <w:rsid w:val="00C33C95"/>
    <w:rsid w:val="00C34557"/>
    <w:rsid w:val="00C3719D"/>
    <w:rsid w:val="00C37FF9"/>
    <w:rsid w:val="00C522E5"/>
    <w:rsid w:val="00C5276B"/>
    <w:rsid w:val="00C54995"/>
    <w:rsid w:val="00C54D41"/>
    <w:rsid w:val="00C60783"/>
    <w:rsid w:val="00C62C66"/>
    <w:rsid w:val="00C64672"/>
    <w:rsid w:val="00C70697"/>
    <w:rsid w:val="00C72EF4"/>
    <w:rsid w:val="00C75C18"/>
    <w:rsid w:val="00C75D2F"/>
    <w:rsid w:val="00C767BE"/>
    <w:rsid w:val="00C76963"/>
    <w:rsid w:val="00C76E3C"/>
    <w:rsid w:val="00C80E56"/>
    <w:rsid w:val="00C81568"/>
    <w:rsid w:val="00C83D20"/>
    <w:rsid w:val="00C9027A"/>
    <w:rsid w:val="00C9068E"/>
    <w:rsid w:val="00C90776"/>
    <w:rsid w:val="00C93C4B"/>
    <w:rsid w:val="00C93DD5"/>
    <w:rsid w:val="00C944AB"/>
    <w:rsid w:val="00C95B40"/>
    <w:rsid w:val="00C97EC3"/>
    <w:rsid w:val="00CA1080"/>
    <w:rsid w:val="00CA1ED8"/>
    <w:rsid w:val="00CB1F63"/>
    <w:rsid w:val="00CB5FD6"/>
    <w:rsid w:val="00CB7170"/>
    <w:rsid w:val="00CC040E"/>
    <w:rsid w:val="00CC111F"/>
    <w:rsid w:val="00CC2011"/>
    <w:rsid w:val="00CC30FA"/>
    <w:rsid w:val="00CC3EA0"/>
    <w:rsid w:val="00CC7B45"/>
    <w:rsid w:val="00CD1188"/>
    <w:rsid w:val="00CD2ED1"/>
    <w:rsid w:val="00CD337B"/>
    <w:rsid w:val="00CD6E0A"/>
    <w:rsid w:val="00CD7A7B"/>
    <w:rsid w:val="00CE0424"/>
    <w:rsid w:val="00CE7561"/>
    <w:rsid w:val="00CF0525"/>
    <w:rsid w:val="00CF1354"/>
    <w:rsid w:val="00CF2AA1"/>
    <w:rsid w:val="00CF3B1F"/>
    <w:rsid w:val="00CF3BF6"/>
    <w:rsid w:val="00CF625B"/>
    <w:rsid w:val="00CF687E"/>
    <w:rsid w:val="00CF7F1E"/>
    <w:rsid w:val="00D01987"/>
    <w:rsid w:val="00D023B5"/>
    <w:rsid w:val="00D0349B"/>
    <w:rsid w:val="00D04434"/>
    <w:rsid w:val="00D10249"/>
    <w:rsid w:val="00D115C3"/>
    <w:rsid w:val="00D11897"/>
    <w:rsid w:val="00D11C2F"/>
    <w:rsid w:val="00D13135"/>
    <w:rsid w:val="00D13E4E"/>
    <w:rsid w:val="00D21406"/>
    <w:rsid w:val="00D239A7"/>
    <w:rsid w:val="00D23F47"/>
    <w:rsid w:val="00D3005B"/>
    <w:rsid w:val="00D30CE4"/>
    <w:rsid w:val="00D35807"/>
    <w:rsid w:val="00D36E71"/>
    <w:rsid w:val="00D37D87"/>
    <w:rsid w:val="00D40B33"/>
    <w:rsid w:val="00D4318F"/>
    <w:rsid w:val="00D438BF"/>
    <w:rsid w:val="00D440F8"/>
    <w:rsid w:val="00D5408A"/>
    <w:rsid w:val="00D546FF"/>
    <w:rsid w:val="00D55AD5"/>
    <w:rsid w:val="00D56FD9"/>
    <w:rsid w:val="00D576CA"/>
    <w:rsid w:val="00D57EEA"/>
    <w:rsid w:val="00D60E13"/>
    <w:rsid w:val="00D61AF5"/>
    <w:rsid w:val="00D62CD5"/>
    <w:rsid w:val="00D631E1"/>
    <w:rsid w:val="00D63D13"/>
    <w:rsid w:val="00D6435F"/>
    <w:rsid w:val="00D652B5"/>
    <w:rsid w:val="00D66155"/>
    <w:rsid w:val="00D66DB7"/>
    <w:rsid w:val="00D708B0"/>
    <w:rsid w:val="00D70E73"/>
    <w:rsid w:val="00D7703E"/>
    <w:rsid w:val="00D77B1D"/>
    <w:rsid w:val="00D8021F"/>
    <w:rsid w:val="00D80383"/>
    <w:rsid w:val="00D823C6"/>
    <w:rsid w:val="00D82585"/>
    <w:rsid w:val="00D86CA3"/>
    <w:rsid w:val="00D871CE"/>
    <w:rsid w:val="00D87FC6"/>
    <w:rsid w:val="00D9196D"/>
    <w:rsid w:val="00D92982"/>
    <w:rsid w:val="00D95744"/>
    <w:rsid w:val="00D95827"/>
    <w:rsid w:val="00DA1275"/>
    <w:rsid w:val="00DA305E"/>
    <w:rsid w:val="00DA44DB"/>
    <w:rsid w:val="00DA5007"/>
    <w:rsid w:val="00DA5417"/>
    <w:rsid w:val="00DA56E8"/>
    <w:rsid w:val="00DA736E"/>
    <w:rsid w:val="00DA7A24"/>
    <w:rsid w:val="00DB0A9F"/>
    <w:rsid w:val="00DB377D"/>
    <w:rsid w:val="00DB6C69"/>
    <w:rsid w:val="00DC2D36"/>
    <w:rsid w:val="00DC53EF"/>
    <w:rsid w:val="00DC6648"/>
    <w:rsid w:val="00DC68A9"/>
    <w:rsid w:val="00DE5608"/>
    <w:rsid w:val="00DE58D0"/>
    <w:rsid w:val="00DE654F"/>
    <w:rsid w:val="00DE7E6D"/>
    <w:rsid w:val="00DF0716"/>
    <w:rsid w:val="00DF0B6E"/>
    <w:rsid w:val="00DF15E0"/>
    <w:rsid w:val="00DF37A0"/>
    <w:rsid w:val="00DF4160"/>
    <w:rsid w:val="00DF5C56"/>
    <w:rsid w:val="00E110E7"/>
    <w:rsid w:val="00E11B20"/>
    <w:rsid w:val="00E15EDC"/>
    <w:rsid w:val="00E17FA2"/>
    <w:rsid w:val="00E22330"/>
    <w:rsid w:val="00E30B5A"/>
    <w:rsid w:val="00E3123D"/>
    <w:rsid w:val="00E31461"/>
    <w:rsid w:val="00E31D43"/>
    <w:rsid w:val="00E32608"/>
    <w:rsid w:val="00E34188"/>
    <w:rsid w:val="00E345CD"/>
    <w:rsid w:val="00E34B6E"/>
    <w:rsid w:val="00E35559"/>
    <w:rsid w:val="00E3723A"/>
    <w:rsid w:val="00E37860"/>
    <w:rsid w:val="00E43498"/>
    <w:rsid w:val="00E446F1"/>
    <w:rsid w:val="00E447DC"/>
    <w:rsid w:val="00E458E8"/>
    <w:rsid w:val="00E46282"/>
    <w:rsid w:val="00E46886"/>
    <w:rsid w:val="00E47AEF"/>
    <w:rsid w:val="00E53B75"/>
    <w:rsid w:val="00E54E3B"/>
    <w:rsid w:val="00E57565"/>
    <w:rsid w:val="00E60DD1"/>
    <w:rsid w:val="00E615F0"/>
    <w:rsid w:val="00E63838"/>
    <w:rsid w:val="00E64434"/>
    <w:rsid w:val="00E67C51"/>
    <w:rsid w:val="00E72EFC"/>
    <w:rsid w:val="00E7302D"/>
    <w:rsid w:val="00E758EC"/>
    <w:rsid w:val="00E77DE7"/>
    <w:rsid w:val="00E8234C"/>
    <w:rsid w:val="00E83327"/>
    <w:rsid w:val="00E83365"/>
    <w:rsid w:val="00E83AA9"/>
    <w:rsid w:val="00E85928"/>
    <w:rsid w:val="00E87822"/>
    <w:rsid w:val="00E90395"/>
    <w:rsid w:val="00E90E49"/>
    <w:rsid w:val="00E9171D"/>
    <w:rsid w:val="00E917F9"/>
    <w:rsid w:val="00E9291C"/>
    <w:rsid w:val="00E93FFE"/>
    <w:rsid w:val="00E944B0"/>
    <w:rsid w:val="00E94F8A"/>
    <w:rsid w:val="00E9760A"/>
    <w:rsid w:val="00EA5456"/>
    <w:rsid w:val="00EA5BBE"/>
    <w:rsid w:val="00EA7A41"/>
    <w:rsid w:val="00EB077B"/>
    <w:rsid w:val="00EB2877"/>
    <w:rsid w:val="00EB4EA2"/>
    <w:rsid w:val="00EC27C6"/>
    <w:rsid w:val="00EC4207"/>
    <w:rsid w:val="00EC5653"/>
    <w:rsid w:val="00EC593B"/>
    <w:rsid w:val="00EC60B5"/>
    <w:rsid w:val="00EC71CE"/>
    <w:rsid w:val="00ED1006"/>
    <w:rsid w:val="00ED1B38"/>
    <w:rsid w:val="00ED5AFA"/>
    <w:rsid w:val="00EF18FE"/>
    <w:rsid w:val="00EF2D19"/>
    <w:rsid w:val="00EF5787"/>
    <w:rsid w:val="00EF60D0"/>
    <w:rsid w:val="00EF6EAE"/>
    <w:rsid w:val="00F032C2"/>
    <w:rsid w:val="00F03C85"/>
    <w:rsid w:val="00F0528D"/>
    <w:rsid w:val="00F06C67"/>
    <w:rsid w:val="00F06DFD"/>
    <w:rsid w:val="00F071D1"/>
    <w:rsid w:val="00F07533"/>
    <w:rsid w:val="00F07E09"/>
    <w:rsid w:val="00F10629"/>
    <w:rsid w:val="00F11433"/>
    <w:rsid w:val="00F154A7"/>
    <w:rsid w:val="00F15FA5"/>
    <w:rsid w:val="00F209B7"/>
    <w:rsid w:val="00F2376F"/>
    <w:rsid w:val="00F243D8"/>
    <w:rsid w:val="00F27DB5"/>
    <w:rsid w:val="00F30828"/>
    <w:rsid w:val="00F312A3"/>
    <w:rsid w:val="00F313D6"/>
    <w:rsid w:val="00F35D96"/>
    <w:rsid w:val="00F40717"/>
    <w:rsid w:val="00F40F0C"/>
    <w:rsid w:val="00F411CE"/>
    <w:rsid w:val="00F4229B"/>
    <w:rsid w:val="00F43CD8"/>
    <w:rsid w:val="00F4766C"/>
    <w:rsid w:val="00F50128"/>
    <w:rsid w:val="00F507D1"/>
    <w:rsid w:val="00F519CE"/>
    <w:rsid w:val="00F51ADA"/>
    <w:rsid w:val="00F607C5"/>
    <w:rsid w:val="00F60DEA"/>
    <w:rsid w:val="00F62783"/>
    <w:rsid w:val="00F6302A"/>
    <w:rsid w:val="00F6424B"/>
    <w:rsid w:val="00F64C2B"/>
    <w:rsid w:val="00F651BE"/>
    <w:rsid w:val="00F67F53"/>
    <w:rsid w:val="00F703BE"/>
    <w:rsid w:val="00F71F69"/>
    <w:rsid w:val="00F72052"/>
    <w:rsid w:val="00F720F6"/>
    <w:rsid w:val="00F72B72"/>
    <w:rsid w:val="00F74557"/>
    <w:rsid w:val="00F74BB9"/>
    <w:rsid w:val="00F75582"/>
    <w:rsid w:val="00F75A7F"/>
    <w:rsid w:val="00F76EFA"/>
    <w:rsid w:val="00F804BE"/>
    <w:rsid w:val="00F81092"/>
    <w:rsid w:val="00F817CE"/>
    <w:rsid w:val="00F8456C"/>
    <w:rsid w:val="00F859D8"/>
    <w:rsid w:val="00F868F5"/>
    <w:rsid w:val="00F9056A"/>
    <w:rsid w:val="00F90A1B"/>
    <w:rsid w:val="00F90F8D"/>
    <w:rsid w:val="00F92782"/>
    <w:rsid w:val="00F93AA9"/>
    <w:rsid w:val="00F96985"/>
    <w:rsid w:val="00F97838"/>
    <w:rsid w:val="00FA196A"/>
    <w:rsid w:val="00FA2BB3"/>
    <w:rsid w:val="00FA62C3"/>
    <w:rsid w:val="00FA7522"/>
    <w:rsid w:val="00FB4C80"/>
    <w:rsid w:val="00FB6A6A"/>
    <w:rsid w:val="00FC4AD0"/>
    <w:rsid w:val="00FC7429"/>
    <w:rsid w:val="00FD07F6"/>
    <w:rsid w:val="00FD1EC8"/>
    <w:rsid w:val="00FD3FB3"/>
    <w:rsid w:val="00FD47ED"/>
    <w:rsid w:val="00FD72E7"/>
    <w:rsid w:val="00FD74DB"/>
    <w:rsid w:val="00FD7660"/>
    <w:rsid w:val="00FE0655"/>
    <w:rsid w:val="00FE189D"/>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95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30F7D"/>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630F7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630F7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630F7D"/>
    <w:pPr>
      <w:numPr>
        <w:ilvl w:val="2"/>
      </w:numPr>
      <w:spacing w:before="120"/>
      <w:outlineLvl w:val="2"/>
    </w:pPr>
    <w:rPr>
      <w:sz w:val="28"/>
      <w:szCs w:val="28"/>
    </w:rPr>
  </w:style>
  <w:style w:type="paragraph" w:styleId="Heading4">
    <w:name w:val="heading 4"/>
    <w:basedOn w:val="Heading3"/>
    <w:next w:val="Normal"/>
    <w:link w:val="Heading4Char"/>
    <w:qFormat/>
    <w:rsid w:val="00630F7D"/>
    <w:pPr>
      <w:numPr>
        <w:ilvl w:val="3"/>
      </w:numPr>
      <w:outlineLvl w:val="3"/>
    </w:pPr>
    <w:rPr>
      <w:sz w:val="24"/>
      <w:szCs w:val="24"/>
    </w:rPr>
  </w:style>
  <w:style w:type="paragraph" w:styleId="Heading5">
    <w:name w:val="heading 5"/>
    <w:basedOn w:val="Heading4"/>
    <w:next w:val="Normal"/>
    <w:qFormat/>
    <w:rsid w:val="00630F7D"/>
    <w:pPr>
      <w:numPr>
        <w:ilvl w:val="4"/>
      </w:numPr>
      <w:outlineLvl w:val="4"/>
    </w:pPr>
    <w:rPr>
      <w:sz w:val="22"/>
      <w:szCs w:val="22"/>
    </w:rPr>
  </w:style>
  <w:style w:type="paragraph" w:styleId="Heading6">
    <w:name w:val="heading 6"/>
    <w:basedOn w:val="Normal"/>
    <w:next w:val="Normal"/>
    <w:qFormat/>
    <w:rsid w:val="00630F7D"/>
    <w:pPr>
      <w:keepNext/>
      <w:keepLines/>
      <w:numPr>
        <w:ilvl w:val="5"/>
        <w:numId w:val="1"/>
      </w:numPr>
      <w:spacing w:before="120"/>
      <w:outlineLvl w:val="5"/>
    </w:pPr>
    <w:rPr>
      <w:rFonts w:cs="Arial"/>
    </w:rPr>
  </w:style>
  <w:style w:type="paragraph" w:styleId="Heading7">
    <w:name w:val="heading 7"/>
    <w:basedOn w:val="Normal"/>
    <w:next w:val="Normal"/>
    <w:qFormat/>
    <w:rsid w:val="00630F7D"/>
    <w:pPr>
      <w:keepNext/>
      <w:keepLines/>
      <w:numPr>
        <w:ilvl w:val="6"/>
        <w:numId w:val="1"/>
      </w:numPr>
      <w:spacing w:before="120"/>
      <w:outlineLvl w:val="6"/>
    </w:pPr>
    <w:rPr>
      <w:rFonts w:cs="Arial"/>
    </w:rPr>
  </w:style>
  <w:style w:type="paragraph" w:styleId="Heading8">
    <w:name w:val="heading 8"/>
    <w:basedOn w:val="Heading7"/>
    <w:next w:val="Normal"/>
    <w:qFormat/>
    <w:rsid w:val="00630F7D"/>
    <w:pPr>
      <w:numPr>
        <w:ilvl w:val="7"/>
      </w:numPr>
      <w:outlineLvl w:val="7"/>
    </w:pPr>
  </w:style>
  <w:style w:type="paragraph" w:styleId="Heading9">
    <w:name w:val="heading 9"/>
    <w:basedOn w:val="Heading8"/>
    <w:next w:val="Normal"/>
    <w:qFormat/>
    <w:rsid w:val="00630F7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30F7D"/>
    <w:pPr>
      <w:spacing w:before="180"/>
      <w:ind w:left="2693" w:hanging="2693"/>
    </w:pPr>
    <w:rPr>
      <w:b w:val="0"/>
      <w:bCs/>
    </w:rPr>
  </w:style>
  <w:style w:type="paragraph" w:styleId="TOC1">
    <w:name w:val="toc 1"/>
    <w:aliases w:val="Observation TOC2"/>
    <w:uiPriority w:val="39"/>
    <w:rsid w:val="00630F7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630F7D"/>
    <w:pPr>
      <w:keepNext/>
      <w:keepLines/>
      <w:spacing w:before="180"/>
      <w:jc w:val="center"/>
    </w:pPr>
  </w:style>
  <w:style w:type="paragraph" w:styleId="Caption">
    <w:name w:val="caption"/>
    <w:basedOn w:val="Normal"/>
    <w:next w:val="Normal"/>
    <w:qFormat/>
    <w:rsid w:val="00630F7D"/>
    <w:pPr>
      <w:spacing w:after="240"/>
      <w:jc w:val="center"/>
    </w:pPr>
    <w:rPr>
      <w:b/>
      <w:bCs/>
    </w:rPr>
  </w:style>
  <w:style w:type="paragraph" w:styleId="TOC5">
    <w:name w:val="toc 5"/>
    <w:aliases w:val="Observation TOC"/>
    <w:basedOn w:val="TOC4"/>
    <w:semiHidden/>
    <w:rsid w:val="00630F7D"/>
    <w:pPr>
      <w:tabs>
        <w:tab w:val="right" w:pos="1701"/>
      </w:tabs>
      <w:ind w:left="1701" w:hanging="1701"/>
    </w:pPr>
  </w:style>
  <w:style w:type="paragraph" w:styleId="TOC4">
    <w:name w:val="toc 4"/>
    <w:basedOn w:val="TOC3"/>
    <w:semiHidden/>
    <w:rsid w:val="00630F7D"/>
    <w:pPr>
      <w:ind w:left="1418" w:hanging="1418"/>
    </w:pPr>
  </w:style>
  <w:style w:type="paragraph" w:styleId="TOC3">
    <w:name w:val="toc 3"/>
    <w:basedOn w:val="TOC2"/>
    <w:semiHidden/>
    <w:rsid w:val="00630F7D"/>
    <w:pPr>
      <w:ind w:left="1134" w:hanging="1134"/>
    </w:pPr>
  </w:style>
  <w:style w:type="paragraph" w:styleId="TOC2">
    <w:name w:val="toc 2"/>
    <w:basedOn w:val="TOC1"/>
    <w:semiHidden/>
    <w:rsid w:val="00630F7D"/>
    <w:pPr>
      <w:keepNext w:val="0"/>
      <w:spacing w:before="0"/>
      <w:ind w:left="851" w:hanging="851"/>
    </w:pPr>
    <w:rPr>
      <w:szCs w:val="20"/>
    </w:rPr>
  </w:style>
  <w:style w:type="paragraph" w:styleId="Index2">
    <w:name w:val="index 2"/>
    <w:basedOn w:val="Index1"/>
    <w:semiHidden/>
    <w:rsid w:val="00630F7D"/>
    <w:pPr>
      <w:ind w:left="284"/>
    </w:pPr>
  </w:style>
  <w:style w:type="paragraph" w:styleId="Index1">
    <w:name w:val="index 1"/>
    <w:basedOn w:val="Normal"/>
    <w:semiHidden/>
    <w:rsid w:val="00630F7D"/>
    <w:pPr>
      <w:keepLines/>
      <w:spacing w:after="0"/>
    </w:pPr>
  </w:style>
  <w:style w:type="paragraph" w:styleId="DocumentMap">
    <w:name w:val="Document Map"/>
    <w:basedOn w:val="Normal"/>
    <w:semiHidden/>
    <w:rsid w:val="00630F7D"/>
    <w:pPr>
      <w:shd w:val="clear" w:color="auto" w:fill="000080"/>
    </w:pPr>
    <w:rPr>
      <w:rFonts w:ascii="Tahoma" w:hAnsi="Tahoma" w:cs="Tahoma"/>
    </w:rPr>
  </w:style>
  <w:style w:type="paragraph" w:styleId="ListNumber2">
    <w:name w:val="List Number 2"/>
    <w:basedOn w:val="ListNumber"/>
    <w:rsid w:val="00630F7D"/>
    <w:pPr>
      <w:ind w:left="851"/>
    </w:pPr>
  </w:style>
  <w:style w:type="paragraph" w:styleId="ListNumber">
    <w:name w:val="List Number"/>
    <w:basedOn w:val="List"/>
    <w:rsid w:val="00630F7D"/>
  </w:style>
  <w:style w:type="paragraph" w:styleId="List">
    <w:name w:val="List"/>
    <w:basedOn w:val="Normal"/>
    <w:rsid w:val="00630F7D"/>
    <w:pPr>
      <w:ind w:left="568" w:hanging="284"/>
    </w:pPr>
  </w:style>
  <w:style w:type="paragraph" w:styleId="Header">
    <w:name w:val="header"/>
    <w:rsid w:val="00630F7D"/>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630F7D"/>
    <w:rPr>
      <w:b/>
      <w:bCs/>
      <w:position w:val="6"/>
      <w:sz w:val="16"/>
      <w:szCs w:val="16"/>
    </w:rPr>
  </w:style>
  <w:style w:type="paragraph" w:styleId="FootnoteText">
    <w:name w:val="footnote text"/>
    <w:basedOn w:val="Normal"/>
    <w:semiHidden/>
    <w:rsid w:val="00630F7D"/>
    <w:pPr>
      <w:keepLines/>
      <w:spacing w:after="0"/>
      <w:ind w:left="454" w:hanging="454"/>
    </w:pPr>
    <w:rPr>
      <w:sz w:val="16"/>
      <w:szCs w:val="16"/>
    </w:rPr>
  </w:style>
  <w:style w:type="paragraph" w:customStyle="1" w:styleId="3GPPHeader">
    <w:name w:val="3GPP_Header"/>
    <w:basedOn w:val="Normal"/>
    <w:rsid w:val="00630F7D"/>
    <w:pPr>
      <w:tabs>
        <w:tab w:val="left" w:pos="1701"/>
        <w:tab w:val="right" w:pos="9639"/>
      </w:tabs>
      <w:spacing w:after="240"/>
    </w:pPr>
    <w:rPr>
      <w:b/>
      <w:sz w:val="24"/>
    </w:rPr>
  </w:style>
  <w:style w:type="paragraph" w:styleId="TOC9">
    <w:name w:val="toc 9"/>
    <w:basedOn w:val="TOC8"/>
    <w:semiHidden/>
    <w:rsid w:val="00630F7D"/>
    <w:pPr>
      <w:ind w:left="1418" w:hanging="1418"/>
    </w:pPr>
  </w:style>
  <w:style w:type="paragraph" w:styleId="TOC6">
    <w:name w:val="toc 6"/>
    <w:basedOn w:val="TOC5"/>
    <w:next w:val="Normal"/>
    <w:semiHidden/>
    <w:rsid w:val="00630F7D"/>
    <w:pPr>
      <w:ind w:left="1985" w:hanging="1985"/>
    </w:pPr>
  </w:style>
  <w:style w:type="paragraph" w:styleId="TOC7">
    <w:name w:val="toc 7"/>
    <w:basedOn w:val="TOC6"/>
    <w:next w:val="Normal"/>
    <w:semiHidden/>
    <w:rsid w:val="00630F7D"/>
    <w:pPr>
      <w:ind w:left="2268" w:hanging="2268"/>
    </w:pPr>
  </w:style>
  <w:style w:type="paragraph" w:styleId="ListBullet2">
    <w:name w:val="List Bullet 2"/>
    <w:basedOn w:val="ListBullet"/>
    <w:rsid w:val="00630F7D"/>
    <w:pPr>
      <w:numPr>
        <w:numId w:val="6"/>
      </w:numPr>
    </w:pPr>
  </w:style>
  <w:style w:type="paragraph" w:styleId="ListBullet">
    <w:name w:val="List Bullet"/>
    <w:basedOn w:val="BodyText"/>
    <w:rsid w:val="00630F7D"/>
    <w:pPr>
      <w:numPr>
        <w:numId w:val="5"/>
      </w:numPr>
    </w:pPr>
  </w:style>
  <w:style w:type="paragraph" w:styleId="ListBullet3">
    <w:name w:val="List Bullet 3"/>
    <w:basedOn w:val="ListBullet2"/>
    <w:rsid w:val="00630F7D"/>
    <w:pPr>
      <w:numPr>
        <w:numId w:val="7"/>
      </w:numPr>
    </w:pPr>
  </w:style>
  <w:style w:type="paragraph" w:customStyle="1" w:styleId="EQ">
    <w:name w:val="EQ"/>
    <w:basedOn w:val="Normal"/>
    <w:next w:val="Normal"/>
    <w:rsid w:val="00630F7D"/>
    <w:pPr>
      <w:keepLines/>
      <w:tabs>
        <w:tab w:val="center" w:pos="4536"/>
        <w:tab w:val="right" w:pos="9072"/>
      </w:tabs>
      <w:spacing w:after="180"/>
      <w:jc w:val="left"/>
    </w:pPr>
    <w:rPr>
      <w:noProof/>
      <w:lang w:eastAsia="en-US"/>
    </w:rPr>
  </w:style>
  <w:style w:type="paragraph" w:styleId="List2">
    <w:name w:val="List 2"/>
    <w:basedOn w:val="List"/>
    <w:rsid w:val="00630F7D"/>
    <w:pPr>
      <w:ind w:left="851"/>
    </w:pPr>
  </w:style>
  <w:style w:type="paragraph" w:styleId="List3">
    <w:name w:val="List 3"/>
    <w:basedOn w:val="List2"/>
    <w:rsid w:val="00630F7D"/>
    <w:pPr>
      <w:ind w:left="1135"/>
    </w:pPr>
  </w:style>
  <w:style w:type="paragraph" w:styleId="List4">
    <w:name w:val="List 4"/>
    <w:basedOn w:val="List3"/>
    <w:rsid w:val="00630F7D"/>
    <w:pPr>
      <w:ind w:left="1418"/>
    </w:pPr>
  </w:style>
  <w:style w:type="paragraph" w:styleId="List5">
    <w:name w:val="List 5"/>
    <w:basedOn w:val="List4"/>
    <w:rsid w:val="00630F7D"/>
    <w:pPr>
      <w:ind w:left="1702"/>
    </w:pPr>
  </w:style>
  <w:style w:type="paragraph" w:customStyle="1" w:styleId="EditorsNote">
    <w:name w:val="Editor's Note"/>
    <w:basedOn w:val="Normal"/>
    <w:rsid w:val="00630F7D"/>
    <w:pPr>
      <w:keepLines/>
      <w:spacing w:after="180"/>
      <w:ind w:left="1135" w:hanging="851"/>
      <w:jc w:val="left"/>
    </w:pPr>
    <w:rPr>
      <w:color w:val="FF0000"/>
      <w:lang w:eastAsia="en-US"/>
    </w:rPr>
  </w:style>
  <w:style w:type="paragraph" w:styleId="ListBullet4">
    <w:name w:val="List Bullet 4"/>
    <w:basedOn w:val="ListBullet3"/>
    <w:rsid w:val="00630F7D"/>
    <w:pPr>
      <w:numPr>
        <w:numId w:val="8"/>
      </w:numPr>
    </w:pPr>
  </w:style>
  <w:style w:type="paragraph" w:styleId="ListBullet5">
    <w:name w:val="List Bullet 5"/>
    <w:basedOn w:val="ListBullet4"/>
    <w:rsid w:val="00630F7D"/>
    <w:pPr>
      <w:numPr>
        <w:numId w:val="4"/>
      </w:numPr>
    </w:pPr>
  </w:style>
  <w:style w:type="paragraph" w:styleId="Footer">
    <w:name w:val="footer"/>
    <w:basedOn w:val="Header"/>
    <w:semiHidden/>
    <w:rsid w:val="00630F7D"/>
    <w:pPr>
      <w:jc w:val="center"/>
    </w:pPr>
    <w:rPr>
      <w:i/>
      <w:iCs/>
    </w:rPr>
  </w:style>
  <w:style w:type="paragraph" w:customStyle="1" w:styleId="Reference">
    <w:name w:val="Reference"/>
    <w:basedOn w:val="Normal"/>
    <w:rsid w:val="00630F7D"/>
    <w:pPr>
      <w:numPr>
        <w:numId w:val="2"/>
      </w:numPr>
    </w:pPr>
  </w:style>
  <w:style w:type="paragraph" w:styleId="BalloonText">
    <w:name w:val="Balloon Text"/>
    <w:basedOn w:val="Normal"/>
    <w:semiHidden/>
    <w:rsid w:val="00630F7D"/>
    <w:rPr>
      <w:rFonts w:ascii="Tahoma" w:hAnsi="Tahoma" w:cs="Tahoma"/>
      <w:sz w:val="16"/>
      <w:szCs w:val="16"/>
    </w:rPr>
  </w:style>
  <w:style w:type="character" w:styleId="PageNumber">
    <w:name w:val="page number"/>
    <w:basedOn w:val="DefaultParagraphFont"/>
    <w:semiHidden/>
    <w:rsid w:val="00630F7D"/>
  </w:style>
  <w:style w:type="paragraph" w:styleId="BodyText">
    <w:name w:val="Body Text"/>
    <w:basedOn w:val="Normal"/>
    <w:link w:val="BodyTextChar"/>
    <w:rsid w:val="00630F7D"/>
  </w:style>
  <w:style w:type="character" w:styleId="Hyperlink">
    <w:name w:val="Hyperlink"/>
    <w:uiPriority w:val="99"/>
    <w:rsid w:val="00630F7D"/>
    <w:rPr>
      <w:color w:val="0000FF"/>
      <w:u w:val="single"/>
      <w:lang w:val="en-GB"/>
    </w:rPr>
  </w:style>
  <w:style w:type="character" w:styleId="FollowedHyperlink">
    <w:name w:val="FollowedHyperlink"/>
    <w:semiHidden/>
    <w:rsid w:val="00630F7D"/>
    <w:rPr>
      <w:color w:val="FF0000"/>
      <w:u w:val="single"/>
    </w:rPr>
  </w:style>
  <w:style w:type="character" w:styleId="CommentReference">
    <w:name w:val="annotation reference"/>
    <w:semiHidden/>
    <w:rsid w:val="00630F7D"/>
    <w:rPr>
      <w:sz w:val="16"/>
      <w:szCs w:val="16"/>
    </w:rPr>
  </w:style>
  <w:style w:type="paragraph" w:styleId="CommentText">
    <w:name w:val="annotation text"/>
    <w:basedOn w:val="Normal"/>
    <w:semiHidden/>
    <w:rsid w:val="00630F7D"/>
  </w:style>
  <w:style w:type="paragraph" w:styleId="CommentSubject">
    <w:name w:val="annotation subject"/>
    <w:basedOn w:val="CommentText"/>
    <w:next w:val="CommentText"/>
    <w:semiHidden/>
    <w:rsid w:val="00630F7D"/>
    <w:rPr>
      <w:b/>
      <w:bCs/>
    </w:rPr>
  </w:style>
  <w:style w:type="character" w:customStyle="1" w:styleId="Heading1Char">
    <w:name w:val="Heading 1 Char"/>
    <w:link w:val="Heading1"/>
    <w:rsid w:val="00630F7D"/>
    <w:rPr>
      <w:rFonts w:ascii="Arial" w:hAnsi="Arial" w:cs="Arial"/>
      <w:sz w:val="36"/>
      <w:szCs w:val="36"/>
      <w:lang w:val="en-GB"/>
    </w:rPr>
  </w:style>
  <w:style w:type="paragraph" w:customStyle="1" w:styleId="B1">
    <w:name w:val="B1"/>
    <w:basedOn w:val="List"/>
    <w:rsid w:val="00630F7D"/>
    <w:pPr>
      <w:spacing w:after="180"/>
      <w:jc w:val="left"/>
    </w:pPr>
    <w:rPr>
      <w:lang w:eastAsia="en-US"/>
    </w:rPr>
  </w:style>
  <w:style w:type="paragraph" w:customStyle="1" w:styleId="B2">
    <w:name w:val="B2"/>
    <w:basedOn w:val="List2"/>
    <w:rsid w:val="00630F7D"/>
    <w:pPr>
      <w:spacing w:after="180"/>
      <w:jc w:val="left"/>
    </w:pPr>
    <w:rPr>
      <w:lang w:eastAsia="en-US"/>
    </w:rPr>
  </w:style>
  <w:style w:type="paragraph" w:customStyle="1" w:styleId="B3">
    <w:name w:val="B3"/>
    <w:basedOn w:val="List3"/>
    <w:rsid w:val="00630F7D"/>
    <w:pPr>
      <w:spacing w:after="180"/>
      <w:jc w:val="left"/>
    </w:pPr>
    <w:rPr>
      <w:lang w:eastAsia="en-US"/>
    </w:rPr>
  </w:style>
  <w:style w:type="paragraph" w:customStyle="1" w:styleId="B4">
    <w:name w:val="B4"/>
    <w:basedOn w:val="List4"/>
    <w:rsid w:val="00630F7D"/>
    <w:pPr>
      <w:spacing w:after="180"/>
      <w:jc w:val="left"/>
    </w:pPr>
    <w:rPr>
      <w:lang w:eastAsia="en-US"/>
    </w:rPr>
  </w:style>
  <w:style w:type="paragraph" w:customStyle="1" w:styleId="Proposal">
    <w:name w:val="Proposal"/>
    <w:basedOn w:val="Normal"/>
    <w:rsid w:val="00630F7D"/>
    <w:pPr>
      <w:numPr>
        <w:numId w:val="3"/>
      </w:numPr>
      <w:tabs>
        <w:tab w:val="clear" w:pos="1304"/>
        <w:tab w:val="left" w:pos="1701"/>
      </w:tabs>
      <w:ind w:left="1701" w:hanging="1701"/>
    </w:pPr>
    <w:rPr>
      <w:b/>
      <w:bCs/>
    </w:rPr>
  </w:style>
  <w:style w:type="character" w:customStyle="1" w:styleId="BodyTextChar">
    <w:name w:val="Body Text Char"/>
    <w:link w:val="BodyText"/>
    <w:rsid w:val="00630F7D"/>
    <w:rPr>
      <w:rFonts w:ascii="Arial" w:hAnsi="Arial"/>
      <w:lang w:val="en-GB"/>
    </w:rPr>
  </w:style>
  <w:style w:type="paragraph" w:customStyle="1" w:styleId="B5">
    <w:name w:val="B5"/>
    <w:basedOn w:val="List5"/>
    <w:rsid w:val="00630F7D"/>
    <w:pPr>
      <w:spacing w:after="180"/>
      <w:jc w:val="left"/>
    </w:pPr>
    <w:rPr>
      <w:lang w:eastAsia="en-US"/>
    </w:rPr>
  </w:style>
  <w:style w:type="paragraph" w:customStyle="1" w:styleId="EX">
    <w:name w:val="EX"/>
    <w:basedOn w:val="Normal"/>
    <w:rsid w:val="00630F7D"/>
    <w:pPr>
      <w:keepLines/>
      <w:spacing w:after="180"/>
      <w:ind w:left="1702" w:hanging="1418"/>
      <w:jc w:val="left"/>
    </w:pPr>
    <w:rPr>
      <w:lang w:eastAsia="en-US"/>
    </w:rPr>
  </w:style>
  <w:style w:type="paragraph" w:customStyle="1" w:styleId="EW">
    <w:name w:val="EW"/>
    <w:basedOn w:val="EX"/>
    <w:rsid w:val="00630F7D"/>
    <w:pPr>
      <w:spacing w:after="0"/>
    </w:pPr>
  </w:style>
  <w:style w:type="paragraph" w:customStyle="1" w:styleId="TAL">
    <w:name w:val="TAL"/>
    <w:basedOn w:val="Normal"/>
    <w:rsid w:val="00630F7D"/>
    <w:pPr>
      <w:keepNext/>
      <w:keepLines/>
      <w:spacing w:after="0"/>
      <w:jc w:val="left"/>
    </w:pPr>
    <w:rPr>
      <w:sz w:val="18"/>
      <w:lang w:eastAsia="en-US"/>
    </w:rPr>
  </w:style>
  <w:style w:type="paragraph" w:customStyle="1" w:styleId="TAC">
    <w:name w:val="TAC"/>
    <w:basedOn w:val="TAL"/>
    <w:rsid w:val="00630F7D"/>
    <w:pPr>
      <w:jc w:val="center"/>
    </w:pPr>
  </w:style>
  <w:style w:type="paragraph" w:customStyle="1" w:styleId="TAH">
    <w:name w:val="TAH"/>
    <w:basedOn w:val="TAC"/>
    <w:rsid w:val="00630F7D"/>
    <w:rPr>
      <w:b/>
    </w:rPr>
  </w:style>
  <w:style w:type="paragraph" w:customStyle="1" w:styleId="TAN">
    <w:name w:val="TAN"/>
    <w:basedOn w:val="TAL"/>
    <w:rsid w:val="00630F7D"/>
    <w:pPr>
      <w:ind w:left="851" w:hanging="851"/>
    </w:pPr>
  </w:style>
  <w:style w:type="paragraph" w:customStyle="1" w:styleId="TAR">
    <w:name w:val="TAR"/>
    <w:basedOn w:val="TAL"/>
    <w:rsid w:val="00630F7D"/>
    <w:pPr>
      <w:jc w:val="right"/>
    </w:pPr>
  </w:style>
  <w:style w:type="paragraph" w:customStyle="1" w:styleId="TH">
    <w:name w:val="TH"/>
    <w:basedOn w:val="Normal"/>
    <w:rsid w:val="00630F7D"/>
    <w:pPr>
      <w:keepNext/>
      <w:keepLines/>
      <w:spacing w:before="60" w:after="180"/>
      <w:jc w:val="center"/>
    </w:pPr>
    <w:rPr>
      <w:b/>
      <w:lang w:eastAsia="en-US"/>
    </w:rPr>
  </w:style>
  <w:style w:type="paragraph" w:customStyle="1" w:styleId="TF">
    <w:name w:val="TF"/>
    <w:basedOn w:val="TH"/>
    <w:rsid w:val="00630F7D"/>
    <w:pPr>
      <w:keepNext w:val="0"/>
      <w:spacing w:before="0" w:after="240"/>
    </w:pPr>
  </w:style>
  <w:style w:type="paragraph" w:customStyle="1" w:styleId="TT">
    <w:name w:val="TT"/>
    <w:basedOn w:val="Heading1"/>
    <w:next w:val="Normal"/>
    <w:rsid w:val="00630F7D"/>
    <w:pPr>
      <w:numPr>
        <w:numId w:val="0"/>
      </w:numPr>
      <w:ind w:left="1134" w:hanging="1134"/>
      <w:outlineLvl w:val="9"/>
    </w:pPr>
    <w:rPr>
      <w:rFonts w:cs="Times New Roman"/>
      <w:szCs w:val="20"/>
      <w:lang w:eastAsia="en-US"/>
    </w:rPr>
  </w:style>
  <w:style w:type="paragraph" w:customStyle="1" w:styleId="ZA">
    <w:name w:val="ZA"/>
    <w:rsid w:val="00630F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630F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630F7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630F7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630F7D"/>
  </w:style>
  <w:style w:type="paragraph" w:customStyle="1" w:styleId="ZH">
    <w:name w:val="ZH"/>
    <w:rsid w:val="00630F7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630F7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30F7D"/>
    <w:pPr>
      <w:framePr w:hRule="auto" w:wrap="notBeside" w:y="852"/>
    </w:pPr>
    <w:rPr>
      <w:i w:val="0"/>
      <w:sz w:val="40"/>
    </w:rPr>
  </w:style>
  <w:style w:type="paragraph" w:customStyle="1" w:styleId="ZU">
    <w:name w:val="ZU"/>
    <w:rsid w:val="00630F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630F7D"/>
    <w:pPr>
      <w:framePr w:wrap="notBeside" w:y="16161"/>
    </w:pPr>
  </w:style>
  <w:style w:type="paragraph" w:customStyle="1" w:styleId="FP">
    <w:name w:val="FP"/>
    <w:basedOn w:val="Normal"/>
    <w:rsid w:val="00630F7D"/>
    <w:pPr>
      <w:spacing w:after="0"/>
      <w:jc w:val="left"/>
    </w:pPr>
    <w:rPr>
      <w:lang w:eastAsia="en-US"/>
    </w:rPr>
  </w:style>
  <w:style w:type="paragraph" w:customStyle="1" w:styleId="Observation">
    <w:name w:val="Observation"/>
    <w:basedOn w:val="Proposal"/>
    <w:qFormat/>
    <w:rsid w:val="00630F7D"/>
    <w:pPr>
      <w:numPr>
        <w:numId w:val="13"/>
      </w:numPr>
      <w:ind w:left="1701" w:hanging="1701"/>
    </w:pPr>
  </w:style>
  <w:style w:type="paragraph" w:styleId="TableofFigures">
    <w:name w:val="table of figures"/>
    <w:basedOn w:val="Normal"/>
    <w:next w:val="Normal"/>
    <w:uiPriority w:val="99"/>
    <w:rsid w:val="00630F7D"/>
    <w:pPr>
      <w:ind w:left="1418" w:hanging="1418"/>
      <w:jc w:val="left"/>
    </w:pPr>
    <w:rPr>
      <w:b/>
    </w:rPr>
  </w:style>
  <w:style w:type="paragraph" w:customStyle="1" w:styleId="CRCoverPage">
    <w:name w:val="CR Cover Page"/>
    <w:rsid w:val="007622CE"/>
    <w:pPr>
      <w:spacing w:after="120"/>
    </w:pPr>
    <w:rPr>
      <w:rFonts w:ascii="Arial" w:hAnsi="Arial"/>
      <w:lang w:val="en-GB" w:eastAsia="en-US"/>
    </w:rPr>
  </w:style>
  <w:style w:type="paragraph" w:customStyle="1" w:styleId="Doc-text2">
    <w:name w:val="Doc-text2"/>
    <w:basedOn w:val="Normal"/>
    <w:link w:val="Doc-text2Char"/>
    <w:qFormat/>
    <w:rsid w:val="00630F7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30F7D"/>
    <w:rPr>
      <w:rFonts w:ascii="Arial" w:eastAsia="MS Mincho" w:hAnsi="Arial"/>
      <w:szCs w:val="24"/>
      <w:lang w:val="en-GB" w:eastAsia="en-GB"/>
    </w:rPr>
  </w:style>
  <w:style w:type="paragraph" w:styleId="ListParagraph">
    <w:name w:val="List Paragraph"/>
    <w:basedOn w:val="Normal"/>
    <w:uiPriority w:val="34"/>
    <w:qFormat/>
    <w:rsid w:val="00B95D37"/>
    <w:pPr>
      <w:ind w:left="720"/>
      <w:contextualSpacing/>
    </w:pPr>
  </w:style>
  <w:style w:type="table" w:styleId="TableGrid">
    <w:name w:val="Table Grid"/>
    <w:basedOn w:val="TableNormal"/>
    <w:rsid w:val="000D39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84152"/>
    <w:pPr>
      <w:spacing w:before="100" w:beforeAutospacing="1" w:after="100" w:afterAutospacing="1"/>
    </w:pPr>
    <w:rPr>
      <w:rFonts w:ascii="Times New Roman" w:hAnsi="Times New Roman"/>
      <w:sz w:val="24"/>
      <w:szCs w:val="24"/>
    </w:rPr>
  </w:style>
  <w:style w:type="paragraph" w:customStyle="1" w:styleId="Comments">
    <w:name w:val="Comments"/>
    <w:basedOn w:val="Normal"/>
    <w:link w:val="CommentsChar"/>
    <w:qFormat/>
    <w:rsid w:val="00815A32"/>
    <w:pPr>
      <w:spacing w:before="40"/>
    </w:pPr>
    <w:rPr>
      <w:rFonts w:eastAsia="MS Mincho"/>
      <w:i/>
      <w:noProof/>
      <w:sz w:val="18"/>
      <w:szCs w:val="24"/>
      <w:lang w:eastAsia="en-GB"/>
    </w:rPr>
  </w:style>
  <w:style w:type="character" w:customStyle="1" w:styleId="CommentsChar">
    <w:name w:val="Comments Char"/>
    <w:link w:val="Comments"/>
    <w:rsid w:val="00815A32"/>
    <w:rPr>
      <w:rFonts w:asciiTheme="minorHAnsi" w:eastAsia="MS Mincho" w:hAnsiTheme="minorHAnsi" w:cstheme="minorBidi"/>
      <w:i/>
      <w:noProof/>
      <w:sz w:val="18"/>
      <w:szCs w:val="24"/>
      <w:lang w:eastAsia="en-GB"/>
    </w:rPr>
  </w:style>
  <w:style w:type="character" w:customStyle="1" w:styleId="Heading2Char">
    <w:name w:val="Heading 2 Char"/>
    <w:basedOn w:val="DefaultParagraphFont"/>
    <w:link w:val="Heading2"/>
    <w:rsid w:val="0033737C"/>
    <w:rPr>
      <w:rFonts w:ascii="Arial" w:hAnsi="Arial" w:cs="Arial"/>
      <w:sz w:val="32"/>
      <w:szCs w:val="32"/>
      <w:lang w:val="en-GB"/>
    </w:rPr>
  </w:style>
  <w:style w:type="paragraph" w:styleId="Title">
    <w:name w:val="Title"/>
    <w:basedOn w:val="Normal"/>
    <w:next w:val="Normal"/>
    <w:link w:val="TitleChar"/>
    <w:uiPriority w:val="10"/>
    <w:qFormat/>
    <w:rsid w:val="0033737C"/>
    <w:pPr>
      <w:pBdr>
        <w:bottom w:val="single" w:sz="8" w:space="4" w:color="4F81BD" w:themeColor="accent1"/>
      </w:pBdr>
      <w:spacing w:after="300"/>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33737C"/>
    <w:rPr>
      <w:rFonts w:ascii="Arial" w:eastAsiaTheme="majorEastAsia" w:hAnsi="Arial" w:cstheme="majorBidi"/>
      <w:spacing w:val="5"/>
      <w:kern w:val="28"/>
      <w:sz w:val="52"/>
      <w:szCs w:val="52"/>
      <w:lang w:eastAsia="en-US"/>
    </w:rPr>
  </w:style>
  <w:style w:type="paragraph" w:styleId="Subtitle">
    <w:name w:val="Subtitle"/>
    <w:basedOn w:val="Normal"/>
    <w:next w:val="Normal"/>
    <w:link w:val="SubtitleChar"/>
    <w:uiPriority w:val="11"/>
    <w:qFormat/>
    <w:rsid w:val="0033737C"/>
    <w:pPr>
      <w:numPr>
        <w:ilvl w:val="1"/>
      </w:numPr>
    </w:pPr>
    <w:rPr>
      <w:rFonts w:eastAsiaTheme="majorEastAsia" w:cstheme="majorBidi"/>
      <w:i/>
      <w:iCs/>
      <w:spacing w:val="15"/>
      <w:sz w:val="24"/>
      <w:szCs w:val="24"/>
    </w:rPr>
  </w:style>
  <w:style w:type="character" w:customStyle="1" w:styleId="SubtitleChar">
    <w:name w:val="Subtitle Char"/>
    <w:basedOn w:val="DefaultParagraphFont"/>
    <w:link w:val="Subtitle"/>
    <w:uiPriority w:val="11"/>
    <w:rsid w:val="0033737C"/>
    <w:rPr>
      <w:rFonts w:ascii="Arial" w:eastAsiaTheme="majorEastAsia" w:hAnsi="Arial" w:cstheme="majorBidi"/>
      <w:i/>
      <w:iCs/>
      <w:spacing w:val="15"/>
      <w:sz w:val="24"/>
      <w:szCs w:val="24"/>
      <w:lang w:eastAsia="en-US"/>
    </w:rPr>
  </w:style>
  <w:style w:type="character" w:customStyle="1" w:styleId="Heading3Char">
    <w:name w:val="Heading 3 Char"/>
    <w:basedOn w:val="DefaultParagraphFont"/>
    <w:link w:val="Heading3"/>
    <w:rsid w:val="0033737C"/>
    <w:rPr>
      <w:rFonts w:ascii="Arial" w:hAnsi="Arial" w:cs="Arial"/>
      <w:sz w:val="28"/>
      <w:szCs w:val="28"/>
      <w:lang w:val="en-GB"/>
    </w:rPr>
  </w:style>
  <w:style w:type="character" w:customStyle="1" w:styleId="Heading4Char">
    <w:name w:val="Heading 4 Char"/>
    <w:basedOn w:val="DefaultParagraphFont"/>
    <w:link w:val="Heading4"/>
    <w:rsid w:val="0033737C"/>
    <w:rPr>
      <w:rFonts w:ascii="Arial" w:hAnsi="Arial" w:cs="Arial"/>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6471976">
      <w:bodyDiv w:val="1"/>
      <w:marLeft w:val="0"/>
      <w:marRight w:val="0"/>
      <w:marTop w:val="0"/>
      <w:marBottom w:val="0"/>
      <w:divBdr>
        <w:top w:val="none" w:sz="0" w:space="0" w:color="auto"/>
        <w:left w:val="none" w:sz="0" w:space="0" w:color="auto"/>
        <w:bottom w:val="none" w:sz="0" w:space="0" w:color="auto"/>
        <w:right w:val="none" w:sz="0" w:space="0" w:color="auto"/>
      </w:divBdr>
      <w:divsChild>
        <w:div w:id="1700547494">
          <w:marLeft w:val="274"/>
          <w:marRight w:val="0"/>
          <w:marTop w:val="115"/>
          <w:marBottom w:val="0"/>
          <w:divBdr>
            <w:top w:val="none" w:sz="0" w:space="0" w:color="auto"/>
            <w:left w:val="none" w:sz="0" w:space="0" w:color="auto"/>
            <w:bottom w:val="none" w:sz="0" w:space="0" w:color="auto"/>
            <w:right w:val="none" w:sz="0" w:space="0" w:color="auto"/>
          </w:divBdr>
        </w:div>
        <w:div w:id="289475653">
          <w:marLeft w:val="835"/>
          <w:marRight w:val="0"/>
          <w:marTop w:val="96"/>
          <w:marBottom w:val="0"/>
          <w:divBdr>
            <w:top w:val="none" w:sz="0" w:space="0" w:color="auto"/>
            <w:left w:val="none" w:sz="0" w:space="0" w:color="auto"/>
            <w:bottom w:val="none" w:sz="0" w:space="0" w:color="auto"/>
            <w:right w:val="none" w:sz="0" w:space="0" w:color="auto"/>
          </w:divBdr>
        </w:div>
        <w:div w:id="1909917925">
          <w:marLeft w:val="835"/>
          <w:marRight w:val="0"/>
          <w:marTop w:val="96"/>
          <w:marBottom w:val="0"/>
          <w:divBdr>
            <w:top w:val="none" w:sz="0" w:space="0" w:color="auto"/>
            <w:left w:val="none" w:sz="0" w:space="0" w:color="auto"/>
            <w:bottom w:val="none" w:sz="0" w:space="0" w:color="auto"/>
            <w:right w:val="none" w:sz="0" w:space="0" w:color="auto"/>
          </w:divBdr>
        </w:div>
        <w:div w:id="1987010363">
          <w:marLeft w:val="835"/>
          <w:marRight w:val="0"/>
          <w:marTop w:val="96"/>
          <w:marBottom w:val="0"/>
          <w:divBdr>
            <w:top w:val="none" w:sz="0" w:space="0" w:color="auto"/>
            <w:left w:val="none" w:sz="0" w:space="0" w:color="auto"/>
            <w:bottom w:val="none" w:sz="0" w:space="0" w:color="auto"/>
            <w:right w:val="none" w:sz="0" w:space="0" w:color="auto"/>
          </w:divBdr>
        </w:div>
        <w:div w:id="379787620">
          <w:marLeft w:val="274"/>
          <w:marRight w:val="0"/>
          <w:marTop w:val="115"/>
          <w:marBottom w:val="0"/>
          <w:divBdr>
            <w:top w:val="none" w:sz="0" w:space="0" w:color="auto"/>
            <w:left w:val="none" w:sz="0" w:space="0" w:color="auto"/>
            <w:bottom w:val="none" w:sz="0" w:space="0" w:color="auto"/>
            <w:right w:val="none" w:sz="0" w:space="0" w:color="auto"/>
          </w:divBdr>
        </w:div>
        <w:div w:id="282732846">
          <w:marLeft w:val="835"/>
          <w:marRight w:val="0"/>
          <w:marTop w:val="96"/>
          <w:marBottom w:val="0"/>
          <w:divBdr>
            <w:top w:val="none" w:sz="0" w:space="0" w:color="auto"/>
            <w:left w:val="none" w:sz="0" w:space="0" w:color="auto"/>
            <w:bottom w:val="none" w:sz="0" w:space="0" w:color="auto"/>
            <w:right w:val="none" w:sz="0" w:space="0" w:color="auto"/>
          </w:divBdr>
        </w:div>
        <w:div w:id="1961760139">
          <w:marLeft w:val="1411"/>
          <w:marRight w:val="0"/>
          <w:marTop w:val="96"/>
          <w:marBottom w:val="0"/>
          <w:divBdr>
            <w:top w:val="none" w:sz="0" w:space="0" w:color="auto"/>
            <w:left w:val="none" w:sz="0" w:space="0" w:color="auto"/>
            <w:bottom w:val="none" w:sz="0" w:space="0" w:color="auto"/>
            <w:right w:val="none" w:sz="0" w:space="0" w:color="auto"/>
          </w:divBdr>
        </w:div>
        <w:div w:id="1599479408">
          <w:marLeft w:val="1411"/>
          <w:marRight w:val="0"/>
          <w:marTop w:val="96"/>
          <w:marBottom w:val="0"/>
          <w:divBdr>
            <w:top w:val="none" w:sz="0" w:space="0" w:color="auto"/>
            <w:left w:val="none" w:sz="0" w:space="0" w:color="auto"/>
            <w:bottom w:val="none" w:sz="0" w:space="0" w:color="auto"/>
            <w:right w:val="none" w:sz="0" w:space="0" w:color="auto"/>
          </w:divBdr>
        </w:div>
        <w:div w:id="1441949356">
          <w:marLeft w:val="1411"/>
          <w:marRight w:val="0"/>
          <w:marTop w:val="96"/>
          <w:marBottom w:val="0"/>
          <w:divBdr>
            <w:top w:val="none" w:sz="0" w:space="0" w:color="auto"/>
            <w:left w:val="none" w:sz="0" w:space="0" w:color="auto"/>
            <w:bottom w:val="none" w:sz="0" w:space="0" w:color="auto"/>
            <w:right w:val="none" w:sz="0" w:space="0" w:color="auto"/>
          </w:divBdr>
        </w:div>
        <w:div w:id="363405063">
          <w:marLeft w:val="1973"/>
          <w:marRight w:val="0"/>
          <w:marTop w:val="96"/>
          <w:marBottom w:val="0"/>
          <w:divBdr>
            <w:top w:val="none" w:sz="0" w:space="0" w:color="auto"/>
            <w:left w:val="none" w:sz="0" w:space="0" w:color="auto"/>
            <w:bottom w:val="none" w:sz="0" w:space="0" w:color="auto"/>
            <w:right w:val="none" w:sz="0" w:space="0" w:color="auto"/>
          </w:divBdr>
        </w:div>
        <w:div w:id="883904302">
          <w:marLeft w:val="1411"/>
          <w:marRight w:val="0"/>
          <w:marTop w:val="96"/>
          <w:marBottom w:val="0"/>
          <w:divBdr>
            <w:top w:val="none" w:sz="0" w:space="0" w:color="auto"/>
            <w:left w:val="none" w:sz="0" w:space="0" w:color="auto"/>
            <w:bottom w:val="none" w:sz="0" w:space="0" w:color="auto"/>
            <w:right w:val="none" w:sz="0" w:space="0" w:color="auto"/>
          </w:divBdr>
        </w:div>
        <w:div w:id="855341656">
          <w:marLeft w:val="1973"/>
          <w:marRight w:val="0"/>
          <w:marTop w:val="96"/>
          <w:marBottom w:val="0"/>
          <w:divBdr>
            <w:top w:val="none" w:sz="0" w:space="0" w:color="auto"/>
            <w:left w:val="none" w:sz="0" w:space="0" w:color="auto"/>
            <w:bottom w:val="none" w:sz="0" w:space="0" w:color="auto"/>
            <w:right w:val="none" w:sz="0" w:space="0" w:color="auto"/>
          </w:divBdr>
        </w:div>
      </w:divsChild>
    </w:div>
    <w:div w:id="862672932">
      <w:bodyDiv w:val="1"/>
      <w:marLeft w:val="0"/>
      <w:marRight w:val="0"/>
      <w:marTop w:val="0"/>
      <w:marBottom w:val="0"/>
      <w:divBdr>
        <w:top w:val="none" w:sz="0" w:space="0" w:color="auto"/>
        <w:left w:val="none" w:sz="0" w:space="0" w:color="auto"/>
        <w:bottom w:val="none" w:sz="0" w:space="0" w:color="auto"/>
        <w:right w:val="none" w:sz="0" w:space="0" w:color="auto"/>
      </w:divBdr>
    </w:div>
    <w:div w:id="910891941">
      <w:bodyDiv w:val="1"/>
      <w:marLeft w:val="0"/>
      <w:marRight w:val="0"/>
      <w:marTop w:val="0"/>
      <w:marBottom w:val="0"/>
      <w:divBdr>
        <w:top w:val="none" w:sz="0" w:space="0" w:color="auto"/>
        <w:left w:val="none" w:sz="0" w:space="0" w:color="auto"/>
        <w:bottom w:val="none" w:sz="0" w:space="0" w:color="auto"/>
        <w:right w:val="none" w:sz="0" w:space="0" w:color="auto"/>
      </w:divBdr>
    </w:div>
    <w:div w:id="1363944649">
      <w:bodyDiv w:val="1"/>
      <w:marLeft w:val="0"/>
      <w:marRight w:val="0"/>
      <w:marTop w:val="0"/>
      <w:marBottom w:val="0"/>
      <w:divBdr>
        <w:top w:val="none" w:sz="0" w:space="0" w:color="auto"/>
        <w:left w:val="none" w:sz="0" w:space="0" w:color="auto"/>
        <w:bottom w:val="none" w:sz="0" w:space="0" w:color="auto"/>
        <w:right w:val="none" w:sz="0" w:space="0" w:color="auto"/>
      </w:divBdr>
      <w:divsChild>
        <w:div w:id="945230950">
          <w:marLeft w:val="274"/>
          <w:marRight w:val="0"/>
          <w:marTop w:val="115"/>
          <w:marBottom w:val="0"/>
          <w:divBdr>
            <w:top w:val="none" w:sz="0" w:space="0" w:color="auto"/>
            <w:left w:val="none" w:sz="0" w:space="0" w:color="auto"/>
            <w:bottom w:val="none" w:sz="0" w:space="0" w:color="auto"/>
            <w:right w:val="none" w:sz="0" w:space="0" w:color="auto"/>
          </w:divBdr>
        </w:div>
        <w:div w:id="1544904798">
          <w:marLeft w:val="835"/>
          <w:marRight w:val="0"/>
          <w:marTop w:val="96"/>
          <w:marBottom w:val="0"/>
          <w:divBdr>
            <w:top w:val="none" w:sz="0" w:space="0" w:color="auto"/>
            <w:left w:val="none" w:sz="0" w:space="0" w:color="auto"/>
            <w:bottom w:val="none" w:sz="0" w:space="0" w:color="auto"/>
            <w:right w:val="none" w:sz="0" w:space="0" w:color="auto"/>
          </w:divBdr>
        </w:div>
        <w:div w:id="677466147">
          <w:marLeft w:val="835"/>
          <w:marRight w:val="0"/>
          <w:marTop w:val="96"/>
          <w:marBottom w:val="0"/>
          <w:divBdr>
            <w:top w:val="none" w:sz="0" w:space="0" w:color="auto"/>
            <w:left w:val="none" w:sz="0" w:space="0" w:color="auto"/>
            <w:bottom w:val="none" w:sz="0" w:space="0" w:color="auto"/>
            <w:right w:val="none" w:sz="0" w:space="0" w:color="auto"/>
          </w:divBdr>
        </w:div>
        <w:div w:id="641085183">
          <w:marLeft w:val="835"/>
          <w:marRight w:val="0"/>
          <w:marTop w:val="96"/>
          <w:marBottom w:val="0"/>
          <w:divBdr>
            <w:top w:val="none" w:sz="0" w:space="0" w:color="auto"/>
            <w:left w:val="none" w:sz="0" w:space="0" w:color="auto"/>
            <w:bottom w:val="none" w:sz="0" w:space="0" w:color="auto"/>
            <w:right w:val="none" w:sz="0" w:space="0" w:color="auto"/>
          </w:divBdr>
        </w:div>
        <w:div w:id="622347155">
          <w:marLeft w:val="274"/>
          <w:marRight w:val="0"/>
          <w:marTop w:val="115"/>
          <w:marBottom w:val="0"/>
          <w:divBdr>
            <w:top w:val="none" w:sz="0" w:space="0" w:color="auto"/>
            <w:left w:val="none" w:sz="0" w:space="0" w:color="auto"/>
            <w:bottom w:val="none" w:sz="0" w:space="0" w:color="auto"/>
            <w:right w:val="none" w:sz="0" w:space="0" w:color="auto"/>
          </w:divBdr>
        </w:div>
        <w:div w:id="360325614">
          <w:marLeft w:val="835"/>
          <w:marRight w:val="0"/>
          <w:marTop w:val="96"/>
          <w:marBottom w:val="0"/>
          <w:divBdr>
            <w:top w:val="none" w:sz="0" w:space="0" w:color="auto"/>
            <w:left w:val="none" w:sz="0" w:space="0" w:color="auto"/>
            <w:bottom w:val="none" w:sz="0" w:space="0" w:color="auto"/>
            <w:right w:val="none" w:sz="0" w:space="0" w:color="auto"/>
          </w:divBdr>
        </w:div>
        <w:div w:id="440420122">
          <w:marLeft w:val="1411"/>
          <w:marRight w:val="0"/>
          <w:marTop w:val="96"/>
          <w:marBottom w:val="0"/>
          <w:divBdr>
            <w:top w:val="none" w:sz="0" w:space="0" w:color="auto"/>
            <w:left w:val="none" w:sz="0" w:space="0" w:color="auto"/>
            <w:bottom w:val="none" w:sz="0" w:space="0" w:color="auto"/>
            <w:right w:val="none" w:sz="0" w:space="0" w:color="auto"/>
          </w:divBdr>
        </w:div>
        <w:div w:id="1741947213">
          <w:marLeft w:val="1411"/>
          <w:marRight w:val="0"/>
          <w:marTop w:val="96"/>
          <w:marBottom w:val="0"/>
          <w:divBdr>
            <w:top w:val="none" w:sz="0" w:space="0" w:color="auto"/>
            <w:left w:val="none" w:sz="0" w:space="0" w:color="auto"/>
            <w:bottom w:val="none" w:sz="0" w:space="0" w:color="auto"/>
            <w:right w:val="none" w:sz="0" w:space="0" w:color="auto"/>
          </w:divBdr>
        </w:div>
        <w:div w:id="26370397">
          <w:marLeft w:val="1411"/>
          <w:marRight w:val="0"/>
          <w:marTop w:val="96"/>
          <w:marBottom w:val="0"/>
          <w:divBdr>
            <w:top w:val="none" w:sz="0" w:space="0" w:color="auto"/>
            <w:left w:val="none" w:sz="0" w:space="0" w:color="auto"/>
            <w:bottom w:val="none" w:sz="0" w:space="0" w:color="auto"/>
            <w:right w:val="none" w:sz="0" w:space="0" w:color="auto"/>
          </w:divBdr>
        </w:div>
        <w:div w:id="1422529836">
          <w:marLeft w:val="1973"/>
          <w:marRight w:val="0"/>
          <w:marTop w:val="96"/>
          <w:marBottom w:val="0"/>
          <w:divBdr>
            <w:top w:val="none" w:sz="0" w:space="0" w:color="auto"/>
            <w:left w:val="none" w:sz="0" w:space="0" w:color="auto"/>
            <w:bottom w:val="none" w:sz="0" w:space="0" w:color="auto"/>
            <w:right w:val="none" w:sz="0" w:space="0" w:color="auto"/>
          </w:divBdr>
        </w:div>
        <w:div w:id="382481168">
          <w:marLeft w:val="1411"/>
          <w:marRight w:val="0"/>
          <w:marTop w:val="96"/>
          <w:marBottom w:val="0"/>
          <w:divBdr>
            <w:top w:val="none" w:sz="0" w:space="0" w:color="auto"/>
            <w:left w:val="none" w:sz="0" w:space="0" w:color="auto"/>
            <w:bottom w:val="none" w:sz="0" w:space="0" w:color="auto"/>
            <w:right w:val="none" w:sz="0" w:space="0" w:color="auto"/>
          </w:divBdr>
        </w:div>
        <w:div w:id="624117917">
          <w:marLeft w:val="1973"/>
          <w:marRight w:val="0"/>
          <w:marTop w:val="96"/>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704595325">
      <w:bodyDiv w:val="1"/>
      <w:marLeft w:val="0"/>
      <w:marRight w:val="0"/>
      <w:marTop w:val="0"/>
      <w:marBottom w:val="0"/>
      <w:divBdr>
        <w:top w:val="none" w:sz="0" w:space="0" w:color="auto"/>
        <w:left w:val="none" w:sz="0" w:space="0" w:color="auto"/>
        <w:bottom w:val="none" w:sz="0" w:space="0" w:color="auto"/>
        <w:right w:val="none" w:sz="0" w:space="0" w:color="auto"/>
      </w:divBdr>
    </w:div>
    <w:div w:id="197795006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1DABA6-B0C9-45DA-9357-D5F3A009E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1899</Words>
  <Characters>15390</Characters>
  <Application>Microsoft Office Word</Application>
  <DocSecurity>0</DocSecurity>
  <Lines>128</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2017-08-11T22:22:00Z</dcterms:created>
  <dcterms:modified xsi:type="dcterms:W3CDTF">2017-08-11T22:24:00Z</dcterms:modified>
</cp:coreProperties>
</file>